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0"/>
        <w:gridCol w:w="1309"/>
        <w:gridCol w:w="3227"/>
        <w:tblGridChange w:id="0">
          <w:tblGrid>
            <w:gridCol w:w="5670"/>
            <w:gridCol w:w="1309"/>
            <w:gridCol w:w="3227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-57" w:firstLine="0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2952000" cy="552683"/>
                  <wp:effectExtent b="0" l="0" r="0" t="0"/>
                  <wp:docPr id="9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left="-71" w:firstLine="0"/>
              <w:jc w:val="center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</w:rPr>
              <w:pict>
                <v:shape id="_x0000_i1025" style="width:54.6pt;height:54.6pt" o:ole="" type="#_x0000_t75">
                  <v:imagedata r:id="rId1" o:title=""/>
                </v:shape>
                <o:OLEObject DrawAspect="Content" r:id="rId2" ObjectID="_1691488028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rtl w:val="0"/>
              </w:rPr>
              <w:t xml:space="preserve">Кафедра 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rtl w:val="0"/>
              </w:rPr>
              <w:t xml:space="preserve">Електронної інженерії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48"/>
                <w:szCs w:val="48"/>
                <w:rtl w:val="0"/>
              </w:rPr>
              <w:t xml:space="preserve">Теорія біомедичних сигналів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206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36"/>
                <w:szCs w:val="36"/>
                <w:rtl w:val="0"/>
              </w:rPr>
              <w:t xml:space="preserve">Робоча програма навчальної дисципліни (Силабус)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Реквізити навчальної дисципліни</w:t>
      </w:r>
    </w:p>
    <w:tbl>
      <w:tblPr>
        <w:tblStyle w:val="Table2"/>
        <w:tblW w:w="10206.0" w:type="dxa"/>
        <w:jc w:val="left"/>
        <w:tblInd w:w="108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2694"/>
        <w:gridCol w:w="7512"/>
        <w:tblGridChange w:id="0">
          <w:tblGrid>
            <w:gridCol w:w="2694"/>
            <w:gridCol w:w="75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Рівень вищої освіти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Перший (бакалаврський)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Галузь знань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12 - Інформаційні технології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Спеціальність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122 "Комп’ютерні науки"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Освітня програма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Комп'ютерні технології в біології та медицині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Статус дисципліни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Нормативна дисципліна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Форма навчання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очна (денна)/ змішана/ дистанційна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Рік підготовки, семестр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2 курс, 3 (осінній) семестр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Обсяг дисципліни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5.5 кредитів ЄКТС / 165 годин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Семестровий контроль/ контрольні заходи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Екзамен, РГР, МКР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Розклад занять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Згідно розкладу на сайті http://rozklad.kpi.ua/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Мова викладання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Українська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Інформація про </w:t>
              <w:br w:type="textWrapping"/>
              <w:t xml:space="preserve">керівника курсу / викладачів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70c0"/>
                <w:sz w:val="22"/>
                <w:szCs w:val="22"/>
                <w:u w:val="single"/>
                <w:rtl w:val="0"/>
              </w:rPr>
              <w:t xml:space="preserve">Лектор: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 к.т.н., доцент, доцент кафедри Електронної інженерії Попов Антон Олександрович, e-mail: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70c0"/>
                  <w:sz w:val="22"/>
                  <w:szCs w:val="22"/>
                  <w:u w:val="single"/>
                  <w:rtl w:val="0"/>
                </w:rPr>
                <w:t xml:space="preserve">popov-ee@lll.kpi.ua</w:t>
              </w:r>
            </w:hyperlink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70c0"/>
                <w:sz w:val="22"/>
                <w:szCs w:val="22"/>
                <w:u w:val="single"/>
                <w:rtl w:val="0"/>
              </w:rPr>
              <w:t xml:space="preserve">Практичні: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 к.т.н., доцент, доцент кафедри Електронної інженерії Іванько Катерина Олегівна, e-mail: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70c0"/>
                  <w:sz w:val="22"/>
                  <w:szCs w:val="22"/>
                  <w:u w:val="single"/>
                  <w:rtl w:val="0"/>
                </w:rPr>
                <w:t xml:space="preserve">ivanko-ee@lll.kpi.ua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  <w:rtl w:val="0"/>
              </w:rPr>
              <w:t xml:space="preserve">к.т.н., доцент, доцент кафедри Електронної інженерії Порєва Ганна Сергіївна, e-mail: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70c0"/>
                  <w:sz w:val="22"/>
                  <w:szCs w:val="22"/>
                  <w:u w:val="single"/>
                  <w:rtl w:val="0"/>
                </w:rPr>
                <w:t xml:space="preserve">porevanna-ee@lll.kpi.ua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Розміщення курсу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rPr>
                <w:rFonts w:ascii="Calibri" w:cs="Calibri" w:eastAsia="Calibri" w:hAnsi="Calibri"/>
                <w:i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https://classroom.google.com/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Програма навчальної дисципліни</w:t>
      </w:r>
    </w:p>
    <w:p w:rsidR="00000000" w:rsidDel="00000000" w:rsidP="00000000" w:rsidRDefault="00000000" w:rsidRPr="00000000" w14:paraId="0000002E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Навчальна дисципліна «Теорія біомедичних сигналів» вивчає математичні методи аналізу біомедичних сигналів та системи їх обробки.</w:t>
      </w:r>
    </w:p>
    <w:p w:rsidR="00000000" w:rsidDel="00000000" w:rsidP="00000000" w:rsidRDefault="00000000" w:rsidRPr="00000000" w14:paraId="00000030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Основною метою навчальної дисципліни є формування цілісного уявлення про сигнали і методи їх дослідження, а також набуття знань, умінь, навичок і досвіду використання методів обробки та аналізу біосигналів у практичній діяльності.</w:t>
      </w:r>
    </w:p>
    <w:p w:rsidR="00000000" w:rsidDel="00000000" w:rsidP="00000000" w:rsidRDefault="00000000" w:rsidRPr="00000000" w14:paraId="00000031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Навчання з дисципліни здійснюється на основі студентоцентрованого підходу та стратегії взаємодії викладача та студента з метою засвоєння студентами матеріалу та розвитку у них практичних навичок.</w:t>
      </w:r>
    </w:p>
    <w:p w:rsidR="00000000" w:rsidDel="00000000" w:rsidP="00000000" w:rsidRDefault="00000000" w:rsidRPr="00000000" w14:paraId="00000032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rFonts w:ascii="Calibri" w:cs="Calibri" w:eastAsia="Calibri" w:hAnsi="Calibri"/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Загальні компетентності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ЗК 1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 - Здатність застосовувати знання у практичних ситуаціях.</w:t>
      </w:r>
    </w:p>
    <w:p w:rsidR="00000000" w:rsidDel="00000000" w:rsidP="00000000" w:rsidRDefault="00000000" w:rsidRPr="00000000" w14:paraId="00000036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ЗК 5 -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 Здатність проведення досліджень на відповідному рівні.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Calibri" w:cs="Calibri" w:eastAsia="Calibri" w:hAnsi="Calibri"/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Спеціальні (фахові) компетентності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A">
      <w:pPr>
        <w:ind w:left="567" w:firstLine="0"/>
        <w:jc w:val="both"/>
        <w:rPr>
          <w:rFonts w:ascii="Calibri" w:cs="Calibri" w:eastAsia="Calibri" w:hAnsi="Calibri"/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ФК 1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 - Здатність застосовувати пакети інженерного програмного забезпечення для проведення досліджень, аналізу, обробки та представлення результатів, а також для автоматизованого проектування медичних приладів та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ФК 14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 - Здатність проводити експерименти за заданими технічними та медичними методиками, виконувати комп’ютерну обробку, аналіз і синтез отриманих результатів.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120" w:before="0" w:line="254" w:lineRule="auto"/>
        <w:ind w:left="0" w:right="23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Програмними результатами навчання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після вивчення дисципліни є:</w:t>
      </w:r>
    </w:p>
    <w:p w:rsidR="00000000" w:rsidDel="00000000" w:rsidP="00000000" w:rsidRDefault="00000000" w:rsidRPr="00000000" w14:paraId="0000003E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ПРН 4 -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Знання методів проектування цифрових та мікропроцесорних систем медичного призначення.</w:t>
      </w:r>
    </w:p>
    <w:p w:rsidR="00000000" w:rsidDel="00000000" w:rsidP="00000000" w:rsidRDefault="00000000" w:rsidRPr="00000000" w14:paraId="0000003F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ПРН 16 -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Застосування сучасних технологій програмування та інструментарію, які підтримують їх використання.</w:t>
      </w:r>
    </w:p>
    <w:p w:rsidR="00000000" w:rsidDel="00000000" w:rsidP="00000000" w:rsidRDefault="00000000" w:rsidRPr="00000000" w14:paraId="00000040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ПРН 31 -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Розуміння теоретичних та практичних підходів до створення та керування медичним обладнанням та медичною технікою.</w:t>
      </w:r>
    </w:p>
    <w:p w:rsidR="00000000" w:rsidDel="00000000" w:rsidP="00000000" w:rsidRDefault="00000000" w:rsidRPr="00000000" w14:paraId="00000041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120" w:before="0" w:line="254" w:lineRule="auto"/>
        <w:ind w:left="0" w:right="23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Під час навчання з дисципліни застосовуються:</w:t>
      </w:r>
    </w:p>
    <w:p w:rsidR="00000000" w:rsidDel="00000000" w:rsidP="00000000" w:rsidRDefault="00000000" w:rsidRPr="00000000" w14:paraId="00000043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- метод проблемно-орієнтованого навчання;</w:t>
      </w:r>
    </w:p>
    <w:p w:rsidR="00000000" w:rsidDel="00000000" w:rsidP="00000000" w:rsidRDefault="00000000" w:rsidRPr="00000000" w14:paraId="00000044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- стратегія активного навчання, за якою зв'язок педагога зі студентами здійснюється за допомогою опитувань, самостійних, контрольних робіт, тестів тощо.</w:t>
      </w:r>
    </w:p>
    <w:p w:rsidR="00000000" w:rsidDel="00000000" w:rsidP="00000000" w:rsidRDefault="00000000" w:rsidRPr="00000000" w14:paraId="00000045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- особистісно-орієнтовані розвиваючі технології, засновані на активних формах і методах навчання (командна робота (team-based learning), парна робота (think-pair-share), метод мозкового штурму, тощо); </w:t>
      </w:r>
    </w:p>
    <w:p w:rsidR="00000000" w:rsidDel="00000000" w:rsidP="00000000" w:rsidRDefault="00000000" w:rsidRPr="00000000" w14:paraId="00000046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- евристичні методи (методи створення ідей, методи вирішення творчих завдань, методи активізації творчого мислення);</w:t>
      </w:r>
    </w:p>
    <w:p w:rsidR="00000000" w:rsidDel="00000000" w:rsidP="00000000" w:rsidRDefault="00000000" w:rsidRPr="00000000" w14:paraId="00000047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- методи змішаного навчання, при яких студенти можуть опанувати матеріал самостійно у власному режимі з виконанням всіх обов’язкових завдань, з використанням наявних онлайн-ресурсів за погодженням з викладачем і перезарахувати результати навчання. Зокрема, сертифікат спеціалізації Digital Signal Processing Specialization 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0070c0"/>
            <w:sz w:val="24"/>
            <w:szCs w:val="24"/>
            <w:rtl w:val="0"/>
          </w:rPr>
          <w:t xml:space="preserve">https://www.coursera.org/specializations/digital-signal-processing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 зараховується з відповідним перерахунком балів за університетською шкалою.</w:t>
      </w:r>
    </w:p>
    <w:p w:rsidR="00000000" w:rsidDel="00000000" w:rsidP="00000000" w:rsidRDefault="00000000" w:rsidRPr="00000000" w14:paraId="00000048">
      <w:pPr>
        <w:widowControl w:val="1"/>
        <w:spacing w:before="120" w:lineRule="auto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Під час навчання та для взаємодії зі студентами використовуються сучасні інформаційно-комунікаційні та мережеві технології для вирішення навчальних завдань, а також комп’ютерна техніка.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" w:before="0" w:line="240" w:lineRule="auto"/>
        <w:ind w:left="43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навчальної дисципліни в програмі навчання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" w:lineRule="auto"/>
        <w:ind w:left="28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4150995" cy="36830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70500" y="3761575"/>
                          <a:ext cx="4150995" cy="36830"/>
                          <a:chOff x="3270500" y="3761575"/>
                          <a:chExt cx="4151000" cy="37375"/>
                        </a:xfrm>
                      </wpg:grpSpPr>
                      <wpg:grpSp>
                        <wpg:cNvGrpSpPr/>
                        <wpg:grpSpPr>
                          <a:xfrm>
                            <a:off x="3270503" y="3761585"/>
                            <a:ext cx="4150995" cy="36830"/>
                            <a:chOff x="3270500" y="3761575"/>
                            <a:chExt cx="4151000" cy="416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70500" y="3761575"/>
                              <a:ext cx="4151000" cy="4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70503" y="3761585"/>
                              <a:ext cx="4150995" cy="36830"/>
                              <a:chOff x="3270503" y="3761585"/>
                              <a:chExt cx="4150995" cy="3175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3270503" y="3761585"/>
                                <a:ext cx="4150975" cy="3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270503" y="3761585"/>
                                <a:ext cx="4150995" cy="31750"/>
                                <a:chOff x="0" y="0"/>
                                <a:chExt cx="6537" cy="50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6525" cy="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50"/>
                                  <a:ext cx="65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4"/>
                                  <a:ext cx="65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82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150995" cy="36830"/>
                <wp:effectExtent b="0" l="0" r="0" t="0"/>
                <wp:docPr id="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99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Дисципліна має міждисциплінарний характер. Вона інтегрує відповідно до свого предмету знання з інших навчальних дисциплін. За структурно-логічною схемою програми підготовки фахівця дисципліна тісно пов’язана з іншими дисциплінами загальної та професійної підготовки: «Математичний аналіз» (в розділах, пов’язаних з інтегруванням, операційним численням та теорією рядів), «Аналітична геометрія» (в розділах, пов’язаних з представленням векторів в евклідових просторах), «Алгоритмізація і програмування» (в розділах, пов’язаних з основами алгоритмування та програмування.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Отримані практичні навички та засвоєні теоретичні знання під час вивчення навчальної дисципліни можна використовувати в подальшому під час опанування навчальних дисциплін: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 циклу професійної підготовки (освітньо-професійна програма «Медична інженерія»): «Біомедичні прилади, апарати і комплекси»;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 вибіркових дисциплін (освітньо-професійна програма «Медична інженерія»): «Лікувальна медична техніка», «Розробка та експлуатація фізіотерапевтичних медичних приладів», «Лікувально-діагностичні комплекси на основі біофотонних перетворювачів», «Проектування медичних інформаційних систем»;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4"/>
        </w:tabs>
        <w:spacing w:after="0" w:before="13" w:line="254" w:lineRule="auto"/>
        <w:ind w:left="312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«Системний аналіз», «Інтелектуальний аналіз даних», «Основи штучного інтелекту» та дисциплін програми підготовки за освітньо-кваліфікаційним рівнем «магістр»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" w:right="0" w:firstLine="29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Необхідні навички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1648460" cy="31750"/>
                <wp:effectExtent b="0" l="0" r="0" t="0"/>
                <wp:wrapTopAndBottom distB="0" distT="0"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1295" y="3780000"/>
                          <a:ext cx="1629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1648460" cy="31750"/>
                <wp:effectExtent b="0" l="0" r="0" t="0"/>
                <wp:wrapTopAndBottom distB="0" distT="0"/>
                <wp:docPr id="9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Навички програмування та алгоритмізації.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40" w:lineRule="auto"/>
        <w:ind w:left="45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Програмні результати навчання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" w:lineRule="auto"/>
        <w:ind w:left="28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00350" cy="36830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5825" y="3761575"/>
                          <a:ext cx="2800350" cy="36830"/>
                          <a:chOff x="3945825" y="3761575"/>
                          <a:chExt cx="2800350" cy="37375"/>
                        </a:xfrm>
                      </wpg:grpSpPr>
                      <wpg:grpSp>
                        <wpg:cNvGrpSpPr/>
                        <wpg:grpSpPr>
                          <a:xfrm>
                            <a:off x="3945825" y="3761585"/>
                            <a:ext cx="2800350" cy="36830"/>
                            <a:chOff x="3945825" y="3761575"/>
                            <a:chExt cx="2800350" cy="416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945825" y="3761575"/>
                              <a:ext cx="2800350" cy="4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45825" y="3761585"/>
                              <a:ext cx="2800350" cy="36830"/>
                              <a:chOff x="3945825" y="3761585"/>
                              <a:chExt cx="2800350" cy="3175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3945825" y="3761585"/>
                                <a:ext cx="2800350" cy="3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945825" y="3761585"/>
                                <a:ext cx="2800350" cy="31750"/>
                                <a:chOff x="0" y="0"/>
                                <a:chExt cx="4410" cy="50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4400" cy="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50"/>
                                  <a:ext cx="44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4"/>
                                  <a:ext cx="44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82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00350" cy="36830"/>
                <wp:effectExtent b="0" l="0" r="0" t="0"/>
                <wp:docPr id="8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Згідно з вимогами програми навчальної дисципліни студенти в результаті навчання мають продемонструвати такі результати навчання:</w:t>
      </w:r>
    </w:p>
    <w:p w:rsidR="00000000" w:rsidDel="00000000" w:rsidP="00000000" w:rsidRDefault="00000000" w:rsidRPr="00000000" w14:paraId="0000005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знання: </w:t>
      </w:r>
    </w:p>
    <w:p w:rsidR="00000000" w:rsidDel="00000000" w:rsidP="00000000" w:rsidRDefault="00000000" w:rsidRPr="00000000" w14:paraId="0000005E">
      <w:pPr>
        <w:tabs>
          <w:tab w:val="left" w:leader="none" w:pos="94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Видів та параметрів сигналів та зображень різної природи, зокрема біомедичних.</w:t>
      </w:r>
    </w:p>
    <w:p w:rsidR="00000000" w:rsidDel="00000000" w:rsidP="00000000" w:rsidRDefault="00000000" w:rsidRPr="00000000" w14:paraId="0000005F">
      <w:pPr>
        <w:tabs>
          <w:tab w:val="left" w:leader="none" w:pos="94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Методів математичного опису лінійних стаціонарних дискретних систем.</w:t>
      </w:r>
    </w:p>
    <w:p w:rsidR="00000000" w:rsidDel="00000000" w:rsidP="00000000" w:rsidRDefault="00000000" w:rsidRPr="00000000" w14:paraId="00000060">
      <w:pPr>
        <w:tabs>
          <w:tab w:val="left" w:leader="none" w:pos="94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Методів спектрального, спектрально-часового, вейвлет та кореляційного аналізу, умови та обмеження в їх застосуванні.</w:t>
      </w:r>
    </w:p>
    <w:p w:rsidR="00000000" w:rsidDel="00000000" w:rsidP="00000000" w:rsidRDefault="00000000" w:rsidRPr="00000000" w14:paraId="00000061">
      <w:pPr>
        <w:tabs>
          <w:tab w:val="left" w:leader="none" w:pos="94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Сутності частотно-залежної обробки сигналів за допомогою фільтрів;</w:t>
      </w:r>
    </w:p>
    <w:p w:rsidR="00000000" w:rsidDel="00000000" w:rsidP="00000000" w:rsidRDefault="00000000" w:rsidRPr="00000000" w14:paraId="00000062">
      <w:pPr>
        <w:tabs>
          <w:tab w:val="left" w:leader="none" w:pos="94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Основних підходів до стохастичного, нелінійного та мультиваріативного аналізу сигналів та розпізнавання образів.</w:t>
      </w:r>
    </w:p>
    <w:p w:rsidR="00000000" w:rsidDel="00000000" w:rsidP="00000000" w:rsidRDefault="00000000" w:rsidRPr="00000000" w14:paraId="00000063">
      <w:pPr>
        <w:tabs>
          <w:tab w:val="left" w:leader="none" w:pos="94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Тенденцій розвитку теорії сигналів та застосування методів дослідження сигналів в спеціальності.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Відповідність результатів навчання до компетентностей у стандарті вищої освіти можна переглянути у Додатку 1 «Програмні результати навчання (розширена форма)».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848485" cy="31750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283" y="378000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848485" cy="31750"/>
                <wp:effectExtent b="0" l="0" r="0" t="0"/>
                <wp:wrapTopAndBottom distB="0" distT="0"/>
                <wp:docPr id="9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spacing w:before="82" w:lineRule="auto"/>
        <w:ind w:left="312" w:firstLine="0"/>
        <w:rPr>
          <w:sz w:val="18"/>
          <w:szCs w:val="18"/>
        </w:rPr>
        <w:sectPr>
          <w:headerReference r:id="rId18" w:type="default"/>
          <w:footerReference r:id="rId19" w:type="default"/>
          <w:pgSz w:h="16840" w:w="11910" w:orient="portrait"/>
          <w:pgMar w:bottom="1120" w:top="960" w:left="820" w:right="1000" w:header="668" w:footer="931"/>
          <w:pgNumType w:start="2"/>
        </w:sectPr>
      </w:pPr>
      <w:r w:rsidDel="00000000" w:rsidR="00000000" w:rsidRPr="00000000">
        <w:rPr>
          <w:sz w:val="18.333333333333336"/>
          <w:szCs w:val="18.333333333333336"/>
          <w:vertAlign w:val="superscript"/>
          <w:rtl w:val="0"/>
        </w:rPr>
        <w:t xml:space="preserve">1 </w:t>
      </w:r>
      <w:r w:rsidDel="00000000" w:rsidR="00000000" w:rsidRPr="00000000">
        <w:rPr>
          <w:sz w:val="18"/>
          <w:szCs w:val="18"/>
          <w:rtl w:val="0"/>
        </w:rPr>
        <w:t xml:space="preserve">Learning outcomes.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18860" cy="12700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6550" y="3773650"/>
                          <a:ext cx="6118860" cy="12700"/>
                          <a:chOff x="2286550" y="3773650"/>
                          <a:chExt cx="6118900" cy="14825"/>
                        </a:xfrm>
                      </wpg:grpSpPr>
                      <wpg:grpSp>
                        <wpg:cNvGrpSpPr/>
                        <wpg:grpSpPr>
                          <a:xfrm>
                            <a:off x="2286570" y="3773650"/>
                            <a:ext cx="6118860" cy="12700"/>
                            <a:chOff x="2286550" y="3773650"/>
                            <a:chExt cx="6118900" cy="190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6550" y="3773650"/>
                              <a:ext cx="6118900" cy="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6570" y="3773650"/>
                              <a:ext cx="6118860" cy="12700"/>
                              <a:chOff x="2286570" y="3773650"/>
                              <a:chExt cx="6118860" cy="635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2286570" y="3773650"/>
                                <a:ext cx="6118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6570" y="3773650"/>
                                <a:ext cx="6118860" cy="6350"/>
                                <a:chOff x="0" y="0"/>
                                <a:chExt cx="9636" cy="10"/>
                              </a:xfrm>
                            </wpg:grpSpPr>
                            <wps:wsp>
                              <wps:cNvSpPr/>
                              <wps:cNvPr id="27" name="Shape 27"/>
                              <wps:spPr>
                                <a:xfrm>
                                  <a:off x="0" y="0"/>
                                  <a:ext cx="962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0"/>
                                  <a:ext cx="963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18860" cy="12700"/>
                <wp:effectExtent b="0" l="0" r="0" t="0"/>
                <wp:docPr id="8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298" w:right="0" w:firstLine="29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Перелік тем, завдання та терміни виконання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304800</wp:posOffset>
                </wp:positionV>
                <wp:extent cx="3720465" cy="3175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95293" y="3780000"/>
                          <a:ext cx="37014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304800</wp:posOffset>
                </wp:positionV>
                <wp:extent cx="3720465" cy="31750"/>
                <wp:effectExtent b="0" l="0" r="0" t="0"/>
                <wp:wrapTopAndBottom distB="0" distT="0"/>
                <wp:docPr id="8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046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91.9999999999999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91.9999999999999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Програмні результати навчання, контрольні заходи та терміни виконання оголошуються студентам на першому занятті.</w:t>
      </w:r>
    </w:p>
    <w:tbl>
      <w:tblPr>
        <w:tblStyle w:val="Table3"/>
        <w:tblW w:w="9640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979"/>
        <w:gridCol w:w="2261"/>
        <w:gridCol w:w="1918"/>
        <w:gridCol w:w="1915"/>
        <w:tblGridChange w:id="0">
          <w:tblGrid>
            <w:gridCol w:w="567"/>
            <w:gridCol w:w="2979"/>
            <w:gridCol w:w="2261"/>
            <w:gridCol w:w="1918"/>
            <w:gridCol w:w="1915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" w:line="254" w:lineRule="auto"/>
              <w:ind w:left="122" w:right="95" w:firstLine="38.0000000000000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0" w:right="118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54" w:lineRule="auto"/>
              <w:ind w:left="556" w:right="549" w:firstLine="21.00000000000001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Програмні результати навчання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9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Основні завдання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25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91" w:lineRule="auto"/>
              <w:ind w:left="260" w:right="25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91" w:lineRule="auto"/>
              <w:ind w:left="184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17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Види і параметри сигналів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4, 16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85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МКР-1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85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Перша атестація</w:t>
            </w:r>
          </w:p>
        </w:tc>
      </w:tr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0" w:right="17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Дискретні системи та їх опис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4, 16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85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МКР-1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89" w:lineRule="auto"/>
              <w:ind w:left="181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Перша атестація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17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Розклад сигналів в гільбертових просторах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16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МКР-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Друга атестація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17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Спектральний та спектрально-часовий аналіз сигналів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16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МКР-2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Друга атестація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17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Фільтрація дискретних сигналів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16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МКР-2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Друга атестація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17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випадкових сигналів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4, 31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Іспит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Сесія 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18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Спецрозділи теорії сигналів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4, 31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Іспит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Сесія 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98" w:right="0" w:firstLine="29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Система оцінювання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1828800" cy="31750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1828800" cy="31750"/>
                <wp:effectExtent b="0" l="0" r="0" t="0"/>
                <wp:wrapTopAndBottom distB="0" distT="0"/>
                <wp:docPr id="8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7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4822"/>
        <w:gridCol w:w="849"/>
        <w:gridCol w:w="1276"/>
        <w:gridCol w:w="852"/>
        <w:gridCol w:w="1274"/>
        <w:tblGridChange w:id="0">
          <w:tblGrid>
            <w:gridCol w:w="564"/>
            <w:gridCol w:w="4822"/>
            <w:gridCol w:w="849"/>
            <w:gridCol w:w="1276"/>
            <w:gridCol w:w="852"/>
            <w:gridCol w:w="1274"/>
          </w:tblGrid>
        </w:tblGridChange>
      </w:tblGrid>
      <w:tr>
        <w:trPr>
          <w:cantSplit w:val="0"/>
          <w:trHeight w:val="7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14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захід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0" w:right="31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7" w:right="16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Ваговий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87" w:right="1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99" w:right="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Кіл-ть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260" w:right="24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МКР-1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0*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МКР-2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0*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Лабораторні роботи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30*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0*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60" w:right="24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Бали, набрані за семестр, </w:t>
      </w:r>
      <w:r w:rsidDel="00000000" w:rsidR="00000000" w:rsidRPr="00000000">
        <w:rPr>
          <w:sz w:val="24"/>
          <w:szCs w:val="24"/>
          <w:rtl w:val="0"/>
        </w:rPr>
        <w:t xml:space="preserve">складають 60% фінального рейтингу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Надання сертифікату курсів вивчення мови Пайтон -- додаткові 10 балів. Подати сертифікат необхідно до дедлайну, оголошеного викладачем.</w:t>
      </w:r>
    </w:p>
    <w:p w:rsidR="00000000" w:rsidDel="00000000" w:rsidP="00000000" w:rsidRDefault="00000000" w:rsidRPr="00000000" w14:paraId="000000CF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Захист додаткових Лабораторних робіт № 7, 8 -- додаткові 5 балів (максимум) за кожну</w:t>
      </w:r>
    </w:p>
    <w:p w:rsidR="00000000" w:rsidDel="00000000" w:rsidP="00000000" w:rsidRDefault="00000000" w:rsidRPr="00000000" w14:paraId="000000D0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участь в додаткових освітніх заходах (лекції, семінари, курси, хакатони, та т.і.) з тематики дисципліни (за попереднім погодженням з викладачем) -- додаткові 5 балів (максимум) за кожний захід.</w:t>
      </w:r>
    </w:p>
    <w:p w:rsidR="00000000" w:rsidDel="00000000" w:rsidP="00000000" w:rsidRDefault="00000000" w:rsidRPr="00000000" w14:paraId="000000D1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Календарний контроль: проводиться двічі на семестр як моніторинг поточного стану виконання вимог силабусу.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91.9999999999999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оголошуються кожному студенту окремо у присутності або в дистанційній формі.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Ind w:w="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4822"/>
        <w:gridCol w:w="849"/>
        <w:gridCol w:w="1276"/>
        <w:gridCol w:w="852"/>
        <w:gridCol w:w="1274"/>
        <w:tblGridChange w:id="0">
          <w:tblGrid>
            <w:gridCol w:w="564"/>
            <w:gridCol w:w="4822"/>
            <w:gridCol w:w="849"/>
            <w:gridCol w:w="1276"/>
            <w:gridCol w:w="852"/>
            <w:gridCol w:w="1274"/>
          </w:tblGrid>
        </w:tblGridChange>
      </w:tblGrid>
      <w:tr>
        <w:trPr>
          <w:cantSplit w:val="0"/>
          <w:trHeight w:val="7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5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Модульна контрольна робота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0" w:right="31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7" w:right="16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Ваговий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87" w:right="1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99" w:right="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Кіл-ть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260" w:right="24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Відповідь правильна (не менше 90% потрібної інформації)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 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Несуттєві помилки у відповіді (не менше 75% потрібної інформації)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недоліки у відповіді та певні помилки (не менше 60% потрібної інформації)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Відповідь на тестове запитання з варіантами відповідей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Відповідь відсутня або не правильна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3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Максимальна кількість балів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60" w:right="24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91.9999999999999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91.99999999999994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виявлення академічної недоброчесності – контрольний захід не враховується, студент до захисту не допускається.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91.99999999999994" w:lineRule="auto"/>
        <w:ind w:left="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29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Семестрова атестація студентів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2639695" cy="31750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5678" y="378000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2639695" cy="31750"/>
                <wp:effectExtent b="0" l="0" r="0" t="0"/>
                <wp:wrapTopAndBottom distB="0" distT="0"/>
                <wp:docPr id="8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69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00000000002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247"/>
        <w:gridCol w:w="3826"/>
        <w:tblGridChange w:id="0">
          <w:tblGrid>
            <w:gridCol w:w="567"/>
            <w:gridCol w:w="5247"/>
            <w:gridCol w:w="3826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Обов’язкова умова допуску до екзамену/заліку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5" w:right="14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Критерій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індивідуального завдання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Позитивна оцінка за семестр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17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Лабораторної роботи №1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108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Позитивна оцінка за семестр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Вимоги до здачі лабораторних:</w:t>
      </w:r>
    </w:p>
    <w:p w:rsidR="00000000" w:rsidDel="00000000" w:rsidP="00000000" w:rsidRDefault="00000000" w:rsidRPr="00000000" w14:paraId="00000110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Л/р №1 --  відповідно до розкладу, до дедлайну, оголошеного викладачем.</w:t>
      </w:r>
    </w:p>
    <w:p w:rsidR="00000000" w:rsidDel="00000000" w:rsidP="00000000" w:rsidRDefault="00000000" w:rsidRPr="00000000" w14:paraId="00000111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Л/р №2-3 -- відповідно до розкладу, до першої атестації, до дедлайну, оголошеного викладачем.</w:t>
      </w:r>
    </w:p>
    <w:p w:rsidR="00000000" w:rsidDel="00000000" w:rsidP="00000000" w:rsidRDefault="00000000" w:rsidRPr="00000000" w14:paraId="00000112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Л/р №4-6 -- відповідно до розкладу, до другої атестації, до дедлайну, оголошеного викладачем.</w:t>
      </w:r>
    </w:p>
    <w:p w:rsidR="00000000" w:rsidDel="00000000" w:rsidP="00000000" w:rsidRDefault="00000000" w:rsidRPr="00000000" w14:paraId="00000113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Л/р №7-8 (за бажанням, на додаткові бали) -- відповідно до розкладу, до дедлайну, оголошеного викладачем.</w:t>
      </w:r>
    </w:p>
    <w:p w:rsidR="00000000" w:rsidDel="00000000" w:rsidP="00000000" w:rsidRDefault="00000000" w:rsidRPr="00000000" w14:paraId="00000114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Здача індивідуального завдання: відповідно до розкладу, до дедлайну, оголошеного викладачем.</w:t>
      </w:r>
    </w:p>
    <w:p w:rsidR="00000000" w:rsidDel="00000000" w:rsidP="00000000" w:rsidRDefault="00000000" w:rsidRPr="00000000" w14:paraId="00000116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Атестацію отримують ті студенти, які на час атестації (останній термін визначається викладачем) мають мінімум 50% від максимально можливої кількості балів. Максимально можлива кількість балів, яку треба набрати для атестації, оголошується викладачем.</w:t>
      </w:r>
    </w:p>
    <w:p w:rsidR="00000000" w:rsidDel="00000000" w:rsidP="00000000" w:rsidRDefault="00000000" w:rsidRPr="00000000" w14:paraId="00000118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другої атестації треба здати індивідуальне завдання.</w:t>
      </w:r>
    </w:p>
    <w:p w:rsidR="00000000" w:rsidDel="00000000" w:rsidP="00000000" w:rsidRDefault="00000000" w:rsidRPr="00000000" w14:paraId="00000119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7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7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7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7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7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Зарахування сертифікатів проходження дистанційних чи онлайн курсів за відповідною тематикою: </w:t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spacing w:after="0" w:afterAutospacing="0" w:before="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сертифікат спеціалізації Digital Signal Processing Specialization https://www.coursera.org/specializations/digital-signal-processing зараховується з відповідним перерахунком балів за університетською шкалою. </w:t>
      </w:r>
    </w:p>
    <w:p w:rsidR="00000000" w:rsidDel="00000000" w:rsidP="00000000" w:rsidRDefault="00000000" w:rsidRPr="00000000" w14:paraId="000001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 випадку проходження спеціалізації, для отримання 1 атестації треба надати сертифікат 1 і 2 модуля, для отримання другої атестації треба надати сертифікат 3 модуля.</w:t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Інші сертифікати можуть бути зараховані за умови відповідності змісту навчального матеріалу за попереднім погодженням з викладачем. </w:t>
      </w:r>
    </w:p>
    <w:p w:rsidR="00000000" w:rsidDel="00000000" w:rsidP="00000000" w:rsidRDefault="00000000" w:rsidRPr="00000000" w14:paraId="00000123">
      <w:pPr>
        <w:numPr>
          <w:ilvl w:val="0"/>
          <w:numId w:val="1"/>
        </w:numPr>
        <w:spacing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Надати сертифікати необхідно до дедлайну, оголошеного викладачем.  </w:t>
      </w:r>
    </w:p>
    <w:p w:rsidR="00000000" w:rsidDel="00000000" w:rsidP="00000000" w:rsidRDefault="00000000" w:rsidRPr="00000000" w14:paraId="00000124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Робочу програму навчальної дисципліни (силабус):</w:t>
      </w:r>
    </w:p>
    <w:p w:rsidR="00000000" w:rsidDel="00000000" w:rsidP="00000000" w:rsidRDefault="00000000" w:rsidRPr="00000000" w14:paraId="00000126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Складено: доцент каф. ЕІ, к.т.н., доцент, Попов Антон Олександрович</w:t>
      </w:r>
    </w:p>
    <w:p w:rsidR="00000000" w:rsidDel="00000000" w:rsidP="00000000" w:rsidRDefault="00000000" w:rsidRPr="00000000" w14:paraId="00000127">
      <w:pPr>
        <w:spacing w:before="6" w:lineRule="auto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Ухвалено кафедрою електронної інженерії (протокол № 26, від 19.06.2024 р.)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7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18860" cy="12700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6550" y="3773650"/>
                          <a:ext cx="6118860" cy="12700"/>
                          <a:chOff x="2286550" y="3773650"/>
                          <a:chExt cx="6118900" cy="14825"/>
                        </a:xfrm>
                      </wpg:grpSpPr>
                      <wpg:grpSp>
                        <wpg:cNvGrpSpPr/>
                        <wpg:grpSpPr>
                          <a:xfrm>
                            <a:off x="2286570" y="3773650"/>
                            <a:ext cx="6118860" cy="12700"/>
                            <a:chOff x="2286550" y="3773650"/>
                            <a:chExt cx="6118900" cy="190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6550" y="3773650"/>
                              <a:ext cx="6118900" cy="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6570" y="3773650"/>
                              <a:ext cx="6118860" cy="12700"/>
                              <a:chOff x="2286570" y="3773650"/>
                              <a:chExt cx="6118860" cy="6350"/>
                            </a:xfrm>
                          </wpg:grpSpPr>
                          <wps:wsp>
                            <wps:cNvSpPr/>
                            <wps:cNvPr id="31" name="Shape 31"/>
                            <wps:spPr>
                              <a:xfrm>
                                <a:off x="2286570" y="3773650"/>
                                <a:ext cx="6118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6570" y="3773650"/>
                                <a:ext cx="6118860" cy="6350"/>
                                <a:chOff x="0" y="0"/>
                                <a:chExt cx="9636" cy="10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>
                                  <a:off x="0" y="0"/>
                                  <a:ext cx="962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0"/>
                                  <a:ext cx="963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18860" cy="12700"/>
                <wp:effectExtent b="0" l="0" r="0" t="0"/>
                <wp:docPr id="8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141" w:line="240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Таблиця переведення рейтингових балів до оцінок за університетською шкалою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7"/>
        <w:tblW w:w="9641.0" w:type="dxa"/>
        <w:jc w:val="left"/>
        <w:tblInd w:w="32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5"/>
        <w:gridCol w:w="3214"/>
        <w:gridCol w:w="3212"/>
        <w:tblGridChange w:id="0">
          <w:tblGrid>
            <w:gridCol w:w="3215"/>
            <w:gridCol w:w="3214"/>
            <w:gridCol w:w="3212"/>
          </w:tblGrid>
        </w:tblGridChange>
      </w:tblGrid>
      <w:tr>
        <w:trPr>
          <w:cantSplit w:val="0"/>
          <w:trHeight w:val="714" w:hRule="atLeast"/>
          <w:tblHeader w:val="0"/>
        </w:trPr>
        <w:tc>
          <w:tcPr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511" w:right="4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Рейтингові бали, RD</w:t>
            </w:r>
          </w:p>
        </w:tc>
        <w:tc>
          <w:tcPr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239" w:right="22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Оцінка за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239" w:right="22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університетською шкалою</w:t>
            </w:r>
          </w:p>
        </w:tc>
        <w:tc>
          <w:tcPr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382" w:right="36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Можливість отримання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82" w:right="3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оцінки «автоматом»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89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 ≤ RD ≤ 100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851" w:right="8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Відмінно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 ≤ RD ≤ 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851" w:right="8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Дуже добре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 ≤ RD ≤ 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851" w:right="8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 ≤ RD ≤ 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851" w:right="8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≤ RD ≤ 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851" w:right="8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Достатньо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RD &lt; 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851" w:right="8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Незадовільно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5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Невиконання умов допуску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851" w:right="8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допущено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5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Додаткова інформація стосовно іспиту/заліку/співбесіди: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екзамені студентам не дозволяється користуватись додатковими матеріалами.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" w:right="0" w:firstLine="29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Політика навчальної дисципліни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2729865" cy="31750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0593" y="3780000"/>
                          <a:ext cx="27108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2729865" cy="31750"/>
                <wp:effectExtent b="0" l="0" r="0" t="0"/>
                <wp:wrapTopAndBottom distB="0" distT="0"/>
                <wp:docPr id="8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986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65" w:line="240" w:lineRule="auto"/>
        <w:ind w:left="312" w:right="0" w:firstLine="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Порушення термінів виконання завдань та заохочувальні бали</w:t>
      </w:r>
    </w:p>
    <w:tbl>
      <w:tblPr>
        <w:tblStyle w:val="Table8"/>
        <w:tblW w:w="9608.0" w:type="dxa"/>
        <w:jc w:val="left"/>
        <w:tblInd w:w="3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3"/>
        <w:gridCol w:w="1558"/>
        <w:gridCol w:w="3263"/>
        <w:gridCol w:w="1524"/>
        <w:tblGridChange w:id="0">
          <w:tblGrid>
            <w:gridCol w:w="3263"/>
            <w:gridCol w:w="1558"/>
            <w:gridCol w:w="3263"/>
            <w:gridCol w:w="1524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3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Заохочувальні бали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23" w:right="16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Штрафні бали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31" w:right="11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Критерій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33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Ваговий бал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28" w:right="112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Критерій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5" w:right="10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Ваговий бал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додаткової лабораторної роботи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76" w:lineRule="auto"/>
              <w:ind w:left="133" w:right="12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+ 5 балів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Порушення термінів виконання практичної роботи (за кожну таку роботу)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76" w:lineRule="auto"/>
              <w:ind w:left="115" w:right="10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-0% балів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76" w:lineRule="auto"/>
              <w:ind w:left="133" w:right="12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Порушення термінів виконання лабораторної роботи (за кожну таку роботу)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76" w:lineRule="auto"/>
              <w:ind w:left="115" w:right="10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-0% балів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78.00000000000006" w:lineRule="auto"/>
              <w:ind w:left="133" w:right="12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89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Невчасне подання індивідуального завдання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78.00000000000006" w:lineRule="auto"/>
              <w:ind w:left="115" w:right="10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-0% балів</w:t>
            </w:r>
          </w:p>
        </w:tc>
      </w:tr>
    </w:tbl>
    <w:p w:rsidR="00000000" w:rsidDel="00000000" w:rsidP="00000000" w:rsidRDefault="00000000" w:rsidRPr="00000000" w14:paraId="00000162">
      <w:pPr>
        <w:spacing w:before="254" w:lineRule="auto"/>
        <w:ind w:left="3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Відвідування занять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Відвідування лекцій, практичних та виїзних занять, а також відсутність на них, не оцінюється. Однак, студентам рекомендується відвідувати заняття, оскільки на них викладається теоретичний матеріал та розвиваються навички, необхідні для виконання семестрового індивідуального завдання.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Заняття будуть проводитись у змішаному режимі: частково очно в аудиторії за розкладом, частково у віддаленому режимі з використанням відеозаписів лекцій та подальшими консультаціями з використанням платформи «Сікорський».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оцінювання орієнтована на отримання балів за своєчасність виконання студентами практичних та лабораторних робіт, а також виконання завдань, які здатні розвинути практичні уміння та навички.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2" w:right="0" w:firstLine="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Пропущені контрольні заходи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Індивідуальне завдання, яке подається на перевірку з порушенням терміну виконання, але до терміну виставлення поточної атестації (або заліку / іспиту), оцінюється зі штрафними балами. За пропущені без поважної причини МКР бали не виставляються.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76200</wp:posOffset>
                </wp:positionV>
                <wp:extent cx="1848485" cy="31750"/>
                <wp:effectExtent b="0" l="0" r="0" t="0"/>
                <wp:wrapTopAndBottom distB="0" distT="0"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283" y="378000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76200</wp:posOffset>
                </wp:positionV>
                <wp:extent cx="1848485" cy="31750"/>
                <wp:effectExtent b="0" l="0" r="0" t="0"/>
                <wp:wrapTopAndBottom distB="0" distT="0"/>
                <wp:docPr id="9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6">
      <w:pPr>
        <w:spacing w:before="84" w:line="254" w:lineRule="auto"/>
        <w:ind w:left="312" w:firstLine="0"/>
        <w:rPr>
          <w:sz w:val="18"/>
          <w:szCs w:val="18"/>
        </w:rPr>
        <w:sectPr>
          <w:type w:val="nextPage"/>
          <w:pgSz w:h="16840" w:w="11910" w:orient="portrait"/>
          <w:pgMar w:bottom="1120" w:top="960" w:left="820" w:right="1000" w:header="668" w:footer="931"/>
        </w:sectPr>
      </w:pPr>
      <w:r w:rsidDel="00000000" w:rsidR="00000000" w:rsidRPr="00000000">
        <w:rPr>
          <w:sz w:val="18.333333333333336"/>
          <w:szCs w:val="18.333333333333336"/>
          <w:vertAlign w:val="superscript"/>
          <w:rtl w:val="0"/>
        </w:rPr>
        <w:t xml:space="preserve">2 </w:t>
      </w:r>
      <w:r w:rsidDel="00000000" w:rsidR="00000000" w:rsidRPr="00000000">
        <w:rPr>
          <w:sz w:val="18"/>
          <w:szCs w:val="18"/>
          <w:rtl w:val="0"/>
        </w:rPr>
        <w:t xml:space="preserve">Оцінювання результатів навчання здійснюється за рейтинговою системою оцінювання відповідно до рекомендацій Методичної ради КПІ ім. Ігоря Сікорського , ухвалених протоколом №7 від 29.03.2018 року.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18860" cy="12700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6550" y="3773650"/>
                          <a:ext cx="6118860" cy="12700"/>
                          <a:chOff x="2286550" y="3773650"/>
                          <a:chExt cx="6118900" cy="14825"/>
                        </a:xfrm>
                      </wpg:grpSpPr>
                      <wpg:grpSp>
                        <wpg:cNvGrpSpPr/>
                        <wpg:grpSpPr>
                          <a:xfrm>
                            <a:off x="2286570" y="3773650"/>
                            <a:ext cx="6118860" cy="12700"/>
                            <a:chOff x="2286550" y="3773650"/>
                            <a:chExt cx="6118900" cy="190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6550" y="3773650"/>
                              <a:ext cx="6118900" cy="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6570" y="3773650"/>
                              <a:ext cx="6118860" cy="12700"/>
                              <a:chOff x="2286570" y="3773650"/>
                              <a:chExt cx="6118860" cy="6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6570" y="3773650"/>
                                <a:ext cx="6118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6570" y="3773650"/>
                                <a:ext cx="6118860" cy="6350"/>
                                <a:chOff x="0" y="0"/>
                                <a:chExt cx="9636" cy="1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962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0"/>
                                  <a:ext cx="963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18860" cy="12700"/>
                <wp:effectExtent b="0" l="0" r="0" t="0"/>
                <wp:docPr id="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312" w:right="0" w:firstLine="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Календарний рубіжний контроль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91.99999999999994" w:lineRule="auto"/>
        <w:ind w:left="312" w:right="80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Проміжна атестація студентів (далі – атестація) є календарним рубіжним контролем. Метою проведення атестації є підвищення якості навчання студентів та моніторинг виконання графіка освітнього процесу студентами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9"/>
        <w:tblW w:w="9637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4"/>
        <w:gridCol w:w="2124"/>
        <w:gridCol w:w="2126"/>
        <w:gridCol w:w="1843"/>
        <w:gridCol w:w="1840"/>
        <w:tblGridChange w:id="0">
          <w:tblGrid>
            <w:gridCol w:w="1704"/>
            <w:gridCol w:w="2124"/>
            <w:gridCol w:w="2126"/>
            <w:gridCol w:w="1843"/>
            <w:gridCol w:w="1840"/>
          </w:tblGrid>
        </w:tblGridChange>
      </w:tblGrid>
      <w:tr>
        <w:trPr>
          <w:cantSplit w:val="0"/>
          <w:trHeight w:val="621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2478" w:right="24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Критерій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Перша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89" w:lineRule="auto"/>
              <w:ind w:left="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Друга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89" w:lineRule="auto"/>
              <w:ind w:left="108" w:right="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атестація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атестації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3" w:right="1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8-ий тиждень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08" w:right="9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14-ий тиждень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" w:line="254" w:lineRule="auto"/>
              <w:ind w:left="107" w:right="4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Умови отримання атестації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рейтинг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72" w:right="1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≥ 50% від максимальної кількості  балів, можливої на час атестації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8" w:right="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≥ 50% від максимальної кількості  балів, можливої на час атестації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4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лабораторних робіт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4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 робота № 1-3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9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9" w:lineRule="auto"/>
              <w:ind w:left="1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4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 робота №4-5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9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9" w:lineRule="auto"/>
              <w:ind w:left="1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4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модульної контрольної роботи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4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Модульна контрольна робота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4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індивідуального завдання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4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12" w:right="0" w:firstLine="31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Академічна доброчесність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91.99999999999994" w:lineRule="auto"/>
        <w:ind w:left="312" w:right="13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https://kpi.ua/code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312" w:right="0" w:firstLine="31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Норми етичної поведінки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91.99999999999994" w:lineRule="auto"/>
        <w:ind w:left="312" w:right="13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 інститут  імені  Ігоря Сікорського». Детальніше:</w:t>
      </w:r>
      <w:hyperlink r:id="rId2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https://kpi.ua/code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312" w:right="0" w:firstLine="31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Процедура оскарження результатів контрольних заходів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91.99999999999994" w:lineRule="auto"/>
        <w:ind w:left="312" w:right="1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Студенти мають можливість підняти будь-яке питання, яке стосується процедури контрольних заходів та очікувати, що воно  буде  розглянуто  згідно  із  наперед  визначеними процедурами.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91.99999999999994" w:lineRule="auto"/>
        <w:ind w:left="312" w:right="1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Додаткова інформація стосовно процедури оскарження результатів: студенти мають право оскаржити результати контрольних заходів, але обов’язково аргументовано, пояснивши з яким критерієм не погоджуються відповідно до оціночного листа та/або зауважень.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2" w:right="0" w:firstLine="31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Інклюзивне навчання (необов’язковий пункт)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91.99999999999994" w:lineRule="auto"/>
        <w:ind w:left="312" w:right="1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Навчальна дисципліна може викладатися для більшості студентів з особливими освітніми потребами, окрім студентів з серйозними вадами зору, які не дозволяють виконувати завдання за допомогою персональних комп’ютерів, ноутбуків та/або інших технічних засобів.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312" w:right="0" w:firstLine="31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Навчання іноземною мовою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91.99999999999994" w:lineRule="auto"/>
        <w:ind w:left="312" w:right="13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Навчальна дисципліна передбачає її вивчення на англійській мові за навчальним планом кафедри для іноземних студентів. У процесі викладання навчальної дисципліни використовуються матеріали та джерела англійською мовою.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91.99999999999994" w:lineRule="auto"/>
        <w:ind w:left="312" w:right="13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Враховуючи студентоцентрований підхід, за бажанням україномовних студентів, допускається вивчення матеріалу за допомогою англомовних онлайн-курсів за тематикою, яка відповідає тематиці конкретних занять.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848485" cy="31750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283" y="378000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848485" cy="31750"/>
                <wp:effectExtent b="0" l="0" r="0" t="0"/>
                <wp:wrapTopAndBottom distB="0" distT="0"/>
                <wp:docPr id="9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2">
      <w:pPr>
        <w:spacing w:before="84" w:line="254" w:lineRule="auto"/>
        <w:ind w:left="312" w:right="132" w:firstLine="0"/>
        <w:rPr>
          <w:sz w:val="18"/>
          <w:szCs w:val="18"/>
        </w:rPr>
      </w:pPr>
      <w:r w:rsidDel="00000000" w:rsidR="00000000" w:rsidRPr="00000000">
        <w:rPr>
          <w:sz w:val="18.333333333333336"/>
          <w:szCs w:val="18.333333333333336"/>
          <w:vertAlign w:val="superscript"/>
          <w:rtl w:val="0"/>
        </w:rPr>
        <w:t xml:space="preserve">3 </w:t>
      </w:r>
      <w:r w:rsidDel="00000000" w:rsidR="00000000" w:rsidRPr="00000000">
        <w:rPr>
          <w:sz w:val="18"/>
          <w:szCs w:val="18"/>
          <w:rtl w:val="0"/>
        </w:rPr>
        <w:t xml:space="preserve">Рейтингові системи оцінювання результатів навчання: Рекомендації до розроблення і застосування. Київ: КПІ ім. Ігоря Сікорського, 2018. 20 с.</w:t>
      </w:r>
    </w:p>
    <w:p w:rsidR="00000000" w:rsidDel="00000000" w:rsidP="00000000" w:rsidRDefault="00000000" w:rsidRPr="00000000" w14:paraId="000001E3">
      <w:pPr>
        <w:spacing w:line="220" w:lineRule="auto"/>
        <w:ind w:left="312" w:firstLine="0"/>
        <w:rPr>
          <w:sz w:val="18"/>
          <w:szCs w:val="18"/>
        </w:rPr>
      </w:pPr>
      <w:r w:rsidDel="00000000" w:rsidR="00000000" w:rsidRPr="00000000">
        <w:rPr>
          <w:sz w:val="18.333333333333336"/>
          <w:szCs w:val="18.333333333333336"/>
          <w:vertAlign w:val="superscript"/>
          <w:rtl w:val="0"/>
        </w:rPr>
        <w:t xml:space="preserve">4 </w:t>
      </w:r>
      <w:r w:rsidDel="00000000" w:rsidR="00000000" w:rsidRPr="00000000">
        <w:rPr>
          <w:sz w:val="18"/>
          <w:szCs w:val="18"/>
          <w:rtl w:val="0"/>
        </w:rPr>
        <w:t xml:space="preserve">Там само.</w:t>
      </w:r>
    </w:p>
    <w:p w:rsidR="00000000" w:rsidDel="00000000" w:rsidP="00000000" w:rsidRDefault="00000000" w:rsidRPr="00000000" w14:paraId="000001E4">
      <w:pPr>
        <w:spacing w:before="13" w:lineRule="auto"/>
        <w:ind w:left="312" w:firstLine="0"/>
        <w:rPr>
          <w:sz w:val="18"/>
          <w:szCs w:val="18"/>
        </w:rPr>
        <w:sectPr>
          <w:type w:val="nextPage"/>
          <w:pgSz w:h="16840" w:w="11910" w:orient="portrait"/>
          <w:pgMar w:bottom="1120" w:top="960" w:left="820" w:right="1000" w:header="668" w:footer="931"/>
        </w:sectPr>
      </w:pPr>
      <w:r w:rsidDel="00000000" w:rsidR="00000000" w:rsidRPr="00000000">
        <w:rPr>
          <w:sz w:val="18.333333333333336"/>
          <w:szCs w:val="18.333333333333336"/>
          <w:vertAlign w:val="superscript"/>
          <w:rtl w:val="0"/>
        </w:rPr>
        <w:t xml:space="preserve">5  </w:t>
      </w:r>
      <w:r w:rsidDel="00000000" w:rsidR="00000000" w:rsidRPr="00000000">
        <w:rPr>
          <w:sz w:val="18"/>
          <w:szCs w:val="18"/>
          <w:rtl w:val="0"/>
        </w:rPr>
        <w:t xml:space="preserve">Там само.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Додатки</w:t>
      </w:r>
    </w:p>
    <w:p w:rsidR="00000000" w:rsidDel="00000000" w:rsidP="00000000" w:rsidRDefault="00000000" w:rsidRPr="00000000" w14:paraId="000001E9">
      <w:pPr>
        <w:ind w:left="567" w:firstLine="0"/>
        <w:jc w:val="both"/>
        <w:rPr>
          <w:rFonts w:ascii="Calibri" w:cs="Calibri" w:eastAsia="Calibri" w:hAnsi="Calibri"/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567" w:firstLine="0"/>
        <w:jc w:val="both"/>
        <w:rPr>
          <w:rFonts w:ascii="Calibri" w:cs="Calibri" w:eastAsia="Calibri" w:hAnsi="Calibri"/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Додаток 1. Програмні результати навчання (розширена форма)</w:t>
      </w:r>
    </w:p>
    <w:p w:rsidR="00000000" w:rsidDel="00000000" w:rsidP="00000000" w:rsidRDefault="00000000" w:rsidRPr="00000000" w14:paraId="000001EB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567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В результаті вивчення навчальної дисципліни студенти зможуть:</w:t>
      </w:r>
    </w:p>
    <w:tbl>
      <w:tblPr>
        <w:tblStyle w:val="Table10"/>
        <w:tblW w:w="9639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"/>
        <w:gridCol w:w="3816"/>
        <w:gridCol w:w="2693"/>
        <w:gridCol w:w="2693"/>
        <w:tblGridChange w:id="0">
          <w:tblGrid>
            <w:gridCol w:w="437"/>
            <w:gridCol w:w="3816"/>
            <w:gridCol w:w="2693"/>
            <w:gridCol w:w="2693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2"/>
            <w:vMerge w:val="restart"/>
            <w:shd w:fill="d9d9d9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Результати навчання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775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Відповідність результатів навчання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772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компетентностей у СВО 6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компетентності (soft skills)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компетентності (фахові)</w:t>
            </w:r>
          </w:p>
        </w:tc>
      </w:tr>
      <w:tr>
        <w:trPr>
          <w:cantSplit w:val="0"/>
          <w:trHeight w:val="2043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08" w:right="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 4 -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Знання методів проектування цифрових та мікропроцесорних систем медичного призначення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Знання методів проектування цифрових систем медичного призначення</w:t>
            </w:r>
          </w:p>
        </w:tc>
      </w:tr>
      <w:tr>
        <w:trPr>
          <w:cantSplit w:val="0"/>
          <w:trHeight w:val="2043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08" w:right="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102" w:firstLine="0"/>
              <w:jc w:val="both"/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ПРН 16 -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  <w:rtl w:val="0"/>
              </w:rPr>
              <w:t xml:space="preserve">Застосування сучасних технологій програмування та інструментарію, які підтримують їх використання.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Навички використання інформаційних і комунікаційних технологій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4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8" w:right="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102" w:firstLine="0"/>
              <w:jc w:val="both"/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ПРН 31 -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  <w:rtl w:val="0"/>
              </w:rPr>
              <w:t xml:space="preserve">Розуміння теоретичних та практичних підходів до створення та керування медичним обладнанням та медичною технікою.</w:t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9467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удосконалювати технічні елементи медичних приладів і систем та виробів медичного призначення в процесі професійної діяльності</w:t>
            </w:r>
          </w:p>
        </w:tc>
      </w:tr>
    </w:tbl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114300</wp:posOffset>
                </wp:positionV>
                <wp:extent cx="1848485" cy="31750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283" y="378000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114300</wp:posOffset>
                </wp:positionV>
                <wp:extent cx="1848485" cy="31750"/>
                <wp:effectExtent b="0" l="0" r="0" t="0"/>
                <wp:wrapTopAndBottom distB="0" distT="0"/>
                <wp:docPr id="9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8">
      <w:pPr>
        <w:spacing w:before="84" w:line="254" w:lineRule="auto"/>
        <w:ind w:left="312" w:firstLine="0"/>
        <w:rPr>
          <w:sz w:val="18"/>
          <w:szCs w:val="18"/>
        </w:rPr>
      </w:pPr>
      <w:r w:rsidDel="00000000" w:rsidR="00000000" w:rsidRPr="00000000">
        <w:rPr>
          <w:sz w:val="18.333333333333336"/>
          <w:szCs w:val="18.333333333333336"/>
          <w:vertAlign w:val="superscript"/>
          <w:rtl w:val="0"/>
        </w:rPr>
        <w:t xml:space="preserve">6 </w:t>
      </w:r>
      <w:r w:rsidDel="00000000" w:rsidR="00000000" w:rsidRPr="00000000">
        <w:rPr>
          <w:sz w:val="18"/>
          <w:szCs w:val="18"/>
          <w:rtl w:val="0"/>
        </w:rPr>
        <w:t xml:space="preserve">Наказ Міністерства освіти і науки України № 1264 від 19.11.2018 року «Про затвердження стандарту вищої освіти за спеціальністю 163 Біомедична інженерія» для першого (бакалаврського) рівня вищої освіти».</w:t>
      </w:r>
    </w:p>
    <w:sectPr>
      <w:type w:val="nextPage"/>
      <w:pgSz w:h="16840" w:w="11910" w:orient="portrait"/>
      <w:pgMar w:bottom="1120" w:top="960" w:left="820" w:right="1000" w:header="668" w:footer="93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6197600</wp:posOffset>
              </wp:positionH>
              <wp:positionV relativeFrom="paragraph">
                <wp:posOffset>9867900</wp:posOffset>
              </wp:positionV>
              <wp:extent cx="142240" cy="201930"/>
              <wp:effectExtent b="0" l="0" r="0" t="0"/>
              <wp:wrapNone/>
              <wp:docPr id="95" name=""/>
              <a:graphic>
                <a:graphicData uri="http://schemas.microsoft.com/office/word/2010/wordprocessingShape">
                  <wps:wsp>
                    <wps:cNvSpPr/>
                    <wps:cNvPr id="44" name="Shape 44"/>
                    <wps:spPr>
                      <a:xfrm>
                        <a:off x="5289168" y="3693323"/>
                        <a:ext cx="1136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32.00000047683716" w:line="240"/>
                            <w:ind w:left="4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6197600</wp:posOffset>
              </wp:positionH>
              <wp:positionV relativeFrom="paragraph">
                <wp:posOffset>9867900</wp:posOffset>
              </wp:positionV>
              <wp:extent cx="142240" cy="201930"/>
              <wp:effectExtent b="0" l="0" r="0" t="0"/>
              <wp:wrapNone/>
              <wp:docPr id="9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240" cy="2019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692469</wp:posOffset>
              </wp:positionH>
              <wp:positionV relativeFrom="page">
                <wp:posOffset>397194</wp:posOffset>
              </wp:positionV>
              <wp:extent cx="4522470" cy="251460"/>
              <wp:effectExtent b="0" l="0" r="0" t="0"/>
              <wp:wrapNone/>
              <wp:docPr id="94" name=""/>
              <a:graphic>
                <a:graphicData uri="http://schemas.microsoft.com/office/word/2010/wordprocessingShape">
                  <wps:wsp>
                    <wps:cNvSpPr/>
                    <wps:cNvPr id="43" name="Shape 43"/>
                    <wps:spPr>
                      <a:xfrm>
                        <a:off x="3099053" y="3668558"/>
                        <a:ext cx="44938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4"/>
                              <w:vertAlign w:val="baseline"/>
                            </w:rPr>
                            <w:t xml:space="preserve">Теорія біомедичних сигналів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.999999046325684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692469</wp:posOffset>
              </wp:positionH>
              <wp:positionV relativeFrom="page">
                <wp:posOffset>397194</wp:posOffset>
              </wp:positionV>
              <wp:extent cx="4522470" cy="251460"/>
              <wp:effectExtent b="0" l="0" r="0" t="0"/>
              <wp:wrapNone/>
              <wp:docPr id="9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22470" cy="251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8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left="31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8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left="31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8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left="31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Times New Roman" w:cs="Times New Roman" w:eastAsia="Times New Roman" w:hAnsi="Times New Roman"/>
      <w:b w:val="1"/>
    </w:rPr>
  </w:style>
  <w:style w:type="paragraph" w:styleId="a" w:default="1">
    <w:name w:val="Normal"/>
    <w:uiPriority w:val="1"/>
    <w:qFormat w:val="1"/>
    <w:rsid w:val="00035A66"/>
    <w:rPr>
      <w:rFonts w:ascii="Calibri" w:cs="Calibri" w:eastAsia="Calibri" w:hAnsi="Calibri"/>
      <w:lang w:bidi="uk-UA" w:eastAsia="uk-UA" w:val="uk-UA"/>
    </w:rPr>
  </w:style>
  <w:style w:type="paragraph" w:styleId="1">
    <w:name w:val="heading 1"/>
    <w:basedOn w:val="a"/>
    <w:uiPriority w:val="1"/>
    <w:qFormat w:val="1"/>
    <w:rsid w:val="00035A66"/>
    <w:pPr>
      <w:ind w:left="298"/>
      <w:outlineLvl w:val="0"/>
    </w:pPr>
    <w:rPr>
      <w:b w:val="1"/>
      <w:bCs w:val="1"/>
      <w:sz w:val="28"/>
      <w:szCs w:val="28"/>
      <w:u w:color="000000" w:val="single"/>
    </w:rPr>
  </w:style>
  <w:style w:type="paragraph" w:styleId="2">
    <w:name w:val="heading 2"/>
    <w:basedOn w:val="a"/>
    <w:uiPriority w:val="1"/>
    <w:qFormat w:val="1"/>
    <w:rsid w:val="00035A66"/>
    <w:pPr>
      <w:ind w:left="312"/>
      <w:outlineLvl w:val="1"/>
    </w:pPr>
    <w:rPr>
      <w:b w:val="1"/>
      <w:bCs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AE5DF7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35A6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035A66"/>
    <w:rPr>
      <w:sz w:val="24"/>
      <w:szCs w:val="24"/>
    </w:rPr>
  </w:style>
  <w:style w:type="paragraph" w:styleId="a4">
    <w:name w:val="List Paragraph"/>
    <w:basedOn w:val="a"/>
    <w:uiPriority w:val="1"/>
    <w:qFormat w:val="1"/>
    <w:rsid w:val="00035A66"/>
  </w:style>
  <w:style w:type="paragraph" w:styleId="TableParagraph" w:customStyle="1">
    <w:name w:val="Table Paragraph"/>
    <w:basedOn w:val="a"/>
    <w:uiPriority w:val="1"/>
    <w:qFormat w:val="1"/>
    <w:rsid w:val="00035A66"/>
    <w:pPr>
      <w:spacing w:before="13"/>
      <w:jc w:val="center"/>
    </w:pPr>
  </w:style>
  <w:style w:type="character" w:styleId="a5">
    <w:name w:val="Hyperlink"/>
    <w:basedOn w:val="a0"/>
    <w:uiPriority w:val="99"/>
    <w:unhideWhenUsed w:val="1"/>
    <w:rsid w:val="00223345"/>
    <w:rPr>
      <w:color w:val="0000ff"/>
      <w:u w:val="single"/>
    </w:rPr>
  </w:style>
  <w:style w:type="paragraph" w:styleId="Default" w:customStyle="1">
    <w:name w:val="Default"/>
    <w:rsid w:val="00223345"/>
    <w:pPr>
      <w:widowControl w:val="1"/>
      <w:adjustRightInd w:val="0"/>
    </w:pPr>
    <w:rPr>
      <w:rFonts w:ascii="PT Sans" w:cs="PT Sans" w:hAnsi="PT Sans"/>
      <w:color w:val="000000"/>
      <w:sz w:val="24"/>
      <w:szCs w:val="24"/>
      <w:lang w:val="uk-UA"/>
    </w:rPr>
  </w:style>
  <w:style w:type="paragraph" w:styleId="a6">
    <w:name w:val="Normal (Web)"/>
    <w:basedOn w:val="a"/>
    <w:uiPriority w:val="99"/>
    <w:semiHidden w:val="1"/>
    <w:unhideWhenUsed w:val="1"/>
    <w:rsid w:val="005C0F9A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30" w:customStyle="1">
    <w:name w:val="Заголовок 3 Знак"/>
    <w:basedOn w:val="a0"/>
    <w:link w:val="3"/>
    <w:uiPriority w:val="9"/>
    <w:semiHidden w:val="1"/>
    <w:rsid w:val="00AE5DF7"/>
    <w:rPr>
      <w:rFonts w:asciiTheme="majorHAnsi" w:cstheme="majorBidi" w:eastAsiaTheme="majorEastAsia" w:hAnsiTheme="majorHAnsi"/>
      <w:b w:val="1"/>
      <w:bCs w:val="1"/>
      <w:color w:val="4f81bd" w:themeColor="accent1"/>
      <w:lang w:bidi="uk-UA" w:eastAsia="uk-UA" w:val="uk-UA"/>
    </w:rPr>
  </w:style>
  <w:style w:type="paragraph" w:styleId="a7">
    <w:name w:val="header"/>
    <w:basedOn w:val="a"/>
    <w:link w:val="a8"/>
    <w:uiPriority w:val="99"/>
    <w:unhideWhenUsed w:val="1"/>
    <w:rsid w:val="00707056"/>
    <w:pPr>
      <w:tabs>
        <w:tab w:val="center" w:pos="4819"/>
        <w:tab w:val="right" w:pos="9639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707056"/>
    <w:rPr>
      <w:rFonts w:ascii="Calibri" w:cs="Calibri" w:eastAsia="Calibri" w:hAnsi="Calibri"/>
      <w:lang w:bidi="uk-UA" w:eastAsia="uk-UA" w:val="uk-UA"/>
    </w:rPr>
  </w:style>
  <w:style w:type="paragraph" w:styleId="a9">
    <w:name w:val="footer"/>
    <w:basedOn w:val="a"/>
    <w:link w:val="aa"/>
    <w:uiPriority w:val="99"/>
    <w:unhideWhenUsed w:val="1"/>
    <w:rsid w:val="00707056"/>
    <w:pPr>
      <w:tabs>
        <w:tab w:val="center" w:pos="4819"/>
        <w:tab w:val="right" w:pos="9639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707056"/>
    <w:rPr>
      <w:rFonts w:ascii="Calibri" w:cs="Calibri" w:eastAsia="Calibri" w:hAnsi="Calibri"/>
      <w:lang w:bidi="uk-UA" w:eastAsia="uk-UA" w:val="uk-UA"/>
    </w:rPr>
  </w:style>
  <w:style w:type="paragraph" w:styleId="ab">
    <w:name w:val="Title"/>
    <w:basedOn w:val="a"/>
    <w:link w:val="ac"/>
    <w:qFormat w:val="1"/>
    <w:rsid w:val="00E602CA"/>
    <w:pPr>
      <w:widowControl w:val="1"/>
      <w:adjustRightInd w:val="0"/>
      <w:jc w:val="center"/>
    </w:pPr>
    <w:rPr>
      <w:rFonts w:ascii="Times New Roman" w:cs="Times New Roman" w:eastAsia="Times New Roman" w:hAnsi="Times New Roman"/>
      <w:b w:val="1"/>
      <w:bCs w:val="1"/>
      <w:szCs w:val="24"/>
      <w:lang w:bidi="ar-SA" w:eastAsia="ru-RU"/>
    </w:rPr>
  </w:style>
  <w:style w:type="character" w:styleId="ac" w:customStyle="1">
    <w:name w:val="Название Знак"/>
    <w:basedOn w:val="a0"/>
    <w:link w:val="ab"/>
    <w:rsid w:val="00E602CA"/>
    <w:rPr>
      <w:rFonts w:ascii="Times New Roman" w:cs="Times New Roman" w:eastAsia="Times New Roman" w:hAnsi="Times New Roman"/>
      <w:b w:val="1"/>
      <w:bCs w:val="1"/>
      <w:szCs w:val="24"/>
      <w:lang w:eastAsia="ru-RU" w:val="uk-UA"/>
    </w:rPr>
  </w:style>
  <w:style w:type="table" w:styleId="ad">
    <w:name w:val="Table Grid"/>
    <w:basedOn w:val="a1"/>
    <w:uiPriority w:val="59"/>
    <w:rsid w:val="00C16D35"/>
    <w:pPr>
      <w:widowControl w:val="1"/>
      <w:autoSpaceDE w:val="1"/>
      <w:autoSpaceDN w:val="1"/>
    </w:pPr>
    <w:rPr>
      <w:rFonts w:ascii="Times New Roman" w:cs="Times New Roman" w:hAnsi="Times New Roman"/>
      <w:sz w:val="28"/>
      <w:szCs w:val="28"/>
      <w:lang w:val="ru-R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-211" w:customStyle="1">
    <w:name w:val="Таблица-сетка 2 — акцент 11"/>
    <w:basedOn w:val="a1"/>
    <w:uiPriority w:val="47"/>
    <w:rsid w:val="00C16D35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0"/>
      <w:szCs w:val="20"/>
      <w:lang w:eastAsia="ru-RU" w:val="ru-RU"/>
    </w:rPr>
    <w:tblPr>
      <w:tblStyleRowBandSize w:val="1"/>
      <w:tblStyleColBandSize w:val="1"/>
      <w:tblInd w:w="0.0" w:type="dxa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ae">
    <w:name w:val="Balloon Text"/>
    <w:basedOn w:val="a"/>
    <w:link w:val="af"/>
    <w:uiPriority w:val="99"/>
    <w:semiHidden w:val="1"/>
    <w:unhideWhenUsed w:val="1"/>
    <w:rsid w:val="00C16D35"/>
    <w:rPr>
      <w:rFonts w:ascii="Tahoma" w:cs="Tahoma" w:hAnsi="Tahoma"/>
      <w:sz w:val="16"/>
      <w:szCs w:val="16"/>
    </w:rPr>
  </w:style>
  <w:style w:type="character" w:styleId="af" w:customStyle="1">
    <w:name w:val="Текст выноски Знак"/>
    <w:basedOn w:val="a0"/>
    <w:link w:val="ae"/>
    <w:uiPriority w:val="99"/>
    <w:semiHidden w:val="1"/>
    <w:rsid w:val="00C16D35"/>
    <w:rPr>
      <w:rFonts w:ascii="Tahoma" w:cs="Tahoma" w:eastAsia="Calibri" w:hAnsi="Tahoma"/>
      <w:sz w:val="16"/>
      <w:szCs w:val="16"/>
      <w:lang w:bidi="uk-U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3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3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4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3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11.png"/><Relationship Id="rId21" Type="http://schemas.openxmlformats.org/officeDocument/2006/relationships/image" Target="media/image9.png"/><Relationship Id="rId24" Type="http://schemas.openxmlformats.org/officeDocument/2006/relationships/image" Target="media/image7.png"/><Relationship Id="rId23" Type="http://schemas.openxmlformats.org/officeDocument/2006/relationships/image" Target="media/image10.pn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8.png"/><Relationship Id="rId25" Type="http://schemas.openxmlformats.org/officeDocument/2006/relationships/image" Target="media/image8.png"/><Relationship Id="rId28" Type="http://schemas.openxmlformats.org/officeDocument/2006/relationships/hyperlink" Target="https://kpi.ua/code" TargetMode="External"/><Relationship Id="rId27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29" Type="http://schemas.openxmlformats.org/officeDocument/2006/relationships/hyperlink" Target="https://kpi.ua/code" TargetMode="External"/><Relationship Id="rId7" Type="http://schemas.openxmlformats.org/officeDocument/2006/relationships/styles" Target="styles.xml"/><Relationship Id="rId8" Type="http://schemas.openxmlformats.org/officeDocument/2006/relationships/customXml" Target="../customXML/item1.xml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11" Type="http://schemas.openxmlformats.org/officeDocument/2006/relationships/hyperlink" Target="mailto:ivanko-ee@lll.kpi.ua" TargetMode="External"/><Relationship Id="rId10" Type="http://schemas.openxmlformats.org/officeDocument/2006/relationships/hyperlink" Target="mailto:popov-ee@lll.kpi.ua" TargetMode="External"/><Relationship Id="rId13" Type="http://schemas.openxmlformats.org/officeDocument/2006/relationships/hyperlink" Target="https://www.coursera.org/specializations/digital-signal-processing" TargetMode="External"/><Relationship Id="rId12" Type="http://schemas.openxmlformats.org/officeDocument/2006/relationships/hyperlink" Target="mailto:porevanna-ee@lll.kpi.ua" TargetMode="External"/><Relationship Id="rId15" Type="http://schemas.openxmlformats.org/officeDocument/2006/relationships/image" Target="media/image12.png"/><Relationship Id="rId14" Type="http://schemas.openxmlformats.org/officeDocument/2006/relationships/image" Target="media/image4.png"/><Relationship Id="rId17" Type="http://schemas.openxmlformats.org/officeDocument/2006/relationships/image" Target="media/image15.png"/><Relationship Id="rId16" Type="http://schemas.openxmlformats.org/officeDocument/2006/relationships/image" Target="media/image5.png"/><Relationship Id="rId19" Type="http://schemas.openxmlformats.org/officeDocument/2006/relationships/footer" Target="footer1.xml"/><Relationship Id="rId1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7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dJk9FOen+A1cWh3GejPsiEoluQ==">CgMxLjAyCGguZ2pkZ3hzOAByITFrR0lWUWR1d2FtcENqWTR1dTFWRzV2dkZTTDFpZVB5bA==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2021-08-26T10:01:00Z</dcterms:created>
  <dc:creator>Пользователь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2019-10-08T00:00:00Z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2020-07-11T00:00:00Z</vt:lpwstr>
  </property>
</Properties>
</file>