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57.0" w:type="dxa"/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0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4" w:val="single"/>
                <w:insideH w:color="000000" w:space="0" w:sz="0" w:val="nil"/>
                <w:insideV w:color="000000" w:space="0" w:sz="4" w:val="single"/>
              </w:tblBorders>
              <w:tblLayout w:type="fixed"/>
              <w:tblLook w:val="0000"/>
            </w:tblPr>
            <w:tblGrid>
              <w:gridCol w:w="5353"/>
              <w:gridCol w:w="1625"/>
              <w:gridCol w:w="3228"/>
              <w:tblGridChange w:id="0">
                <w:tblGrid>
                  <w:gridCol w:w="5353"/>
                  <w:gridCol w:w="1625"/>
                  <w:gridCol w:w="3228"/>
                </w:tblGrid>
              </w:tblGridChange>
            </w:tblGrid>
            <w:tr>
              <w:trPr>
                <w:cantSplit w:val="0"/>
                <w:trHeight w:val="41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206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3243580" cy="640080"/>
                        <wp:effectExtent b="0" l="0" r="0" t="0"/>
                        <wp:docPr id="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3580" cy="6400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0" w:right="0" w:hanging="2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70c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861695" cy="533400"/>
                        <wp:effectExtent b="0" l="0" r="0" t="0"/>
                        <wp:docPr id="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1695" cy="533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70c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70c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Кафедри англійської мови гуманітарного спрямування №3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8" w:hRule="atLeast"/>
                <w:tblHeader w:val="0"/>
              </w:trPr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3" w:right="0" w:hanging="5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2060"/>
                      <w:sz w:val="48"/>
                      <w:szCs w:val="4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3" w:right="0" w:hanging="5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2060"/>
                      <w:sz w:val="48"/>
                      <w:szCs w:val="4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2060"/>
                      <w:sz w:val="48"/>
                      <w:szCs w:val="48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Практичний курс </w:t>
                  </w:r>
                  <w:r w:rsidDel="00000000" w:rsidR="00000000" w:rsidRPr="00000000">
                    <w:rPr>
                      <w:b w:val="1"/>
                      <w:color w:val="002060"/>
                      <w:sz w:val="48"/>
                      <w:szCs w:val="48"/>
                      <w:rtl w:val="0"/>
                    </w:rPr>
                    <w:t xml:space="preserve">іноземної мови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2060"/>
                      <w:sz w:val="48"/>
                      <w:szCs w:val="48"/>
                      <w:u w:val="none"/>
                      <w:shd w:fill="auto" w:val="clear"/>
                      <w:vertAlign w:val="baseline"/>
                      <w:rtl w:val="0"/>
                    </w:rPr>
                    <w:t xml:space="preserve">мови для </w:t>
                  </w:r>
                  <w:r w:rsidDel="00000000" w:rsidR="00000000" w:rsidRPr="00000000">
                    <w:rPr>
                      <w:b w:val="1"/>
                      <w:color w:val="002060"/>
                      <w:sz w:val="48"/>
                      <w:szCs w:val="48"/>
                      <w:rtl w:val="0"/>
                    </w:rPr>
                    <w:t xml:space="preserve">ділової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2060"/>
                      <w:sz w:val="48"/>
                      <w:szCs w:val="48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комунікації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2" w:right="0" w:hanging="4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2060"/>
                      <w:sz w:val="36"/>
                      <w:szCs w:val="3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2060"/>
                      <w:sz w:val="36"/>
                      <w:szCs w:val="36"/>
                      <w:u w:val="none"/>
                      <w:shd w:fill="auto" w:val="clear"/>
                      <w:vertAlign w:val="baseline"/>
                      <w:rtl w:val="0"/>
                    </w:rPr>
                    <w:t xml:space="preserve">Робоча програма навчальної дисципліни (Силабус)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bfbfbf" w:val="clear"/>
        <w:spacing w:after="120" w:before="120" w:line="240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Реквізити навчальної дисципліни</w:t>
      </w:r>
      <w:r w:rsidDel="00000000" w:rsidR="00000000" w:rsidRPr="00000000">
        <w:rPr>
          <w:rtl w:val="0"/>
        </w:rPr>
      </w:r>
    </w:p>
    <w:tbl>
      <w:tblPr>
        <w:tblStyle w:val="Table3"/>
        <w:tblW w:w="10205.0" w:type="dxa"/>
        <w:jc w:val="left"/>
        <w:tblInd w:w="-57.0" w:type="dxa"/>
        <w:tblBorders>
          <w:top w:color="000000" w:space="0" w:sz="0" w:val="nil"/>
          <w:left w:color="000000" w:space="0" w:sz="0" w:val="nil"/>
          <w:bottom w:color="95b3d7" w:space="0" w:sz="12" w:val="single"/>
          <w:right w:color="000000" w:space="0" w:sz="0" w:val="nil"/>
          <w:insideH w:color="95b3d7" w:space="0" w:sz="12" w:val="single"/>
          <w:insideV w:color="000000" w:space="0" w:sz="0" w:val="nil"/>
        </w:tblBorders>
        <w:tblLayout w:type="fixed"/>
        <w:tblLook w:val="0000"/>
      </w:tblPr>
      <w:tblGrid>
        <w:gridCol w:w="2694"/>
        <w:gridCol w:w="7511"/>
        <w:tblGridChange w:id="0">
          <w:tblGrid>
            <w:gridCol w:w="2694"/>
            <w:gridCol w:w="75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5b3d7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Рівень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5b3d7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другий (магістерський)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Інформаційні технології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 Хімічна та біоінженерія,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 Комп’ютерні науки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163 Біомедична інженерія,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Освітня програма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Комп'ютерні технології в біології та медицині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Медична інженерія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Статус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Нормативна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очна (денна)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Рік підготовки,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курс (I, ІІ семестр)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Обсяг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кредити (ECTS). Загальний обсяг дисципліни 90 год.: практичні заняття – 72 год., самостійна робота – 18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Семестровий контроль/ контрольні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МКР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 семестр), залік (ІІ семестр)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Розклад занять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заняття на тиждень згідно з розкладом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http://rozklad.kpi.ua/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Мова викладання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англійська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Інформація про </w:t>
              <w:br w:type="textWrapping"/>
              <w:t xml:space="preserve">керівника курсу / викладачів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Викладачі кафедр: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КАМГС № 3 -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http://kamgs3.kpi.ua/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-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ст. викладач Компанець Наталія Михайлівна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Контактний телефон: 050 836 77 51</w:t>
              <w:br w:type="textWrapping"/>
              <w:t xml:space="preserve">Електронна пошта: natali.kompanets2@gmail.com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Розміщення курсу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 розміщений на платформі Sikorsky</w:t>
            </w:r>
          </w:p>
        </w:tc>
      </w:tr>
    </w:tbl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bfbfbf" w:val="clear"/>
        <w:spacing w:after="0" w:before="120" w:line="240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1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Опис навчальної дисципліни, її мета, предмет вивчення та результати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Навчальна дисципліна «Практичний курс іноземної мови для </w:t>
      </w:r>
      <w:r w:rsidDel="00000000" w:rsidR="00000000" w:rsidRPr="00000000">
        <w:rPr>
          <w:sz w:val="24"/>
          <w:szCs w:val="24"/>
          <w:rtl w:val="0"/>
        </w:rPr>
        <w:t xml:space="preserve">ділової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комунікації» належить до дисциплін базової підготовки студентів-здобувачів освітнього ступеню магістра і передбачає опанування мовних знань та мовленнєвих умінь на рівні, необхідному для ефективного спілкування в професійному середовищі. Програма дисципліни розроблена згідно з комплексним підходом до предметної системи навчання і передбачає інтеграцію суспільних, природничих, технічних та інших знань і застосування їх комплексно під час вирішення професійних завдань.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навчальної дисципліни передбачає формування в студентів професійно-орієнтованих іншомовних мовленнєвих компетентностей в аудіюванні, говорінні, читанні, письмі та перекладі на просунутому рівні (В2+), розвиток професійно-орієнтованої лінгвосоціокультурної компетентності, навчально-стратегічної та прагматичної компетентностей.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Зокрема, після засвоєння навчальної дисципліни студенти здатні продемонструвати такі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навчання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розуміти основні ідеї та розпізнавати відповідну інформацію під час обговорень, дебатів, доповідей, бесід, лекцій, що за темою пов'язані з навчанням та спеціальністю;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чітко висловлювати і аргументувати власні погляди та думки стосовно актуальних тем в професійному середовищі (на семінарах, конференціях, зустрічах);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виступати з підготовленими індивідуальними презентаціями щодо широкого кола тем професійного спрямування;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розуміти автентичні тексти, пов'язані з навчанням та спеціальністю, з підручників, популярних та спеціалізованих журналів та Інтернет джерел;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писати реферати на основі автентичної технічної літератури за фахом;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готувати та продукувати ділову та професійну кореспонденцію (листи, звіти, технічну документацію, технічні інструкції);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вміння визначати та перекладати необхідне значення багатозначних слів, а також знати спеціальні способи перекладу деяких форм та конструкцій, які пов'язані з перебудовою речення;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вміння перекладати складні за будовою речення;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знання функціонування текстів різних видів науково-технічної літератури: технічна книга, монографія, стаття з технічного журналу, технічний опис, патент, технічний довідник, каталог;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знання особливостей використання допоміжної літератури, перед усім, спеціальних словників і довідників.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Пререквізити та постреквізити дисципліни (місце в структурно-логічній схемі навчання за відповідною освітньою програмою)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Пререквізити: рівень володіння іноземною мовою не нижче В2, який є стандартом для підготовки бакалаврів, що опановується в результаті успішного вивчення дисципліни «Практичний курс іноземної мови професійного спрямування» та перевіряється під час складання єдиного вступного іспиту («ЄВІ»).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Постреквізити: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досягнення рівня володіння іноземною мовою В2+/С1, який згідно із загальноєвропейською шкалою оцінювання є необхідним для ефективного іншомовного спілкування фахівців у професійному середовищі.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Зміст навчальної дисципліни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 розділів і тем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Англійська 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семестр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Getting started in research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 The scientific community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 Finding a direction for your research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4. Designing an experiment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5. Describing an experiment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 семестр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Writing up research 1: materials and methods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 Writing up research 2: presenting data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 Writing up research 3: results and discussion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4.Writing up research 4: introduction and abstract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5. Presenting research at a conference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1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Навчальні матеріали та ресурси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Англійська 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Базова література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Tamzen Armer Cambridge English for Scientists. (2011). England: Cambridge-University Press.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Ilchenko, O. M. (2009). The language of science. Київ: Наукова думка.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I, W., &amp; Williams, I. (2007). English for Science and Engineering: Heinle, CengageLearning.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Ibbotson M. &amp; Mark Ibbotson (2010). Cambridge English for Engineering. England: Cambridge UniversityPress.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Коваленко А. Я / А. Я. Коваленко (2002). Загальний курс науково-технічного перекладу . Україна: Фірма «ІНКОС».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Допоміжна література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Ільченко О.М. / Ольга Ільченко (2009). The language of Science: Semantics, Pragmatics. Translation. Англійська мовадля науки. Семантика. Прагматика. (Підручник. Для студентів вищих навчальнихзакладів і науковців , Trans.). Україна: НВП “Видавництво “Наукова думка” НАНУкраїни”.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Real Resumes for Computer Jobs. (2007): C&amp;A black.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Williams I / Ivor Williams (2007). English for science and Engineering.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Brieger N / Nick Brieger, &amp; Pohl, A. (2009). Technical English Vocabulary and Grammar . Oxford: Summertown Publishing.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Он-лайн ресурси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https://learnenglish.britishcouncil.org/en/english-emails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https://www.teachingenglish.org.uk/resources/adults/english-business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https://learnenglish.britishcouncil.org/business-english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left"/>
        <w:rPr/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https://www.bbc.co.uk/learningenglish/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IX СЕМЕСТР</w:t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6.000000000002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"/>
        <w:gridCol w:w="5900"/>
        <w:gridCol w:w="1488"/>
        <w:gridCol w:w="1407"/>
        <w:tblGridChange w:id="0">
          <w:tblGrid>
            <w:gridCol w:w="861"/>
            <w:gridCol w:w="5900"/>
            <w:gridCol w:w="1488"/>
            <w:gridCol w:w="1407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Зміст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Методичне 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Домашнє завдання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Entry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1 Getting started in research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6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Talking about your career path Summarising a research proposal Organising and adding detail to a resume or CV Preparing and practising the presentation of a proposal Answering interview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discusses her career options A supervisor gives advice on writing a CV A researcher practises presenting a research proposal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notice for a scholarship A project summary An extract from a CV An extract from an email Advice on conference call interviews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up a resume or CV 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Preparing for an interview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2 The scientific community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Recognising different styles of writing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Asking for help using an online forum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 and note-taking for a critical review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Completing an MTA (Material Transfer Agreement)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student asks for advice on writing a critical review A student discusses published research with his supervisor A researcher completes an MTA with help from his supervisor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Extracts from different styles of writing Questions from an online science forum An extract from a critical review An email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Motivation letter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a critical review 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Completing a Material Transfer Agreement</w:t>
            </w:r>
          </w:p>
        </w:tc>
      </w:tr>
      <w:tr>
        <w:trPr>
          <w:cantSplit w:val="0"/>
          <w:trHeight w:val="4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3 Finding a direction for your research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22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Linking sentences in writing (1) Arguing for and against an idea appropriately Supporting ideas with evidence Following a discussion in a team meeting Interrupting a meeting appropriately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student explains a new idea to her supervisor Four scientists describe their problems with team meetings in English A monthly research meeting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Extracts from a literature review An extract from an email How geckos walk on walls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Job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Doing a literature review 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4 Designing an experiment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30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suggestions and plans for an experiment Giving advice to a colleague Prefixes and suffixes (1) Predicting the results of an experiment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discusses procedure with her supervisor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describes her experimental set-up to a colleague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makes predictions about her experiment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scientific method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approaches to data collection, an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experimental set-up, material phenomena and forces </w:t>
            </w:r>
          </w:p>
        </w:tc>
      </w:tr>
      <w:tr>
        <w:trPr>
          <w:cantSplit w:val="0"/>
          <w:trHeight w:val="31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5 Describing an experiment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38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experimental procedure Revising a paper (1)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expectations and outcomes of an experiment Describing and reporting problems in an experiment Linking sentences in writing (2) Using symbols and abbreviations in lab notebooks Describing lab protocols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a process Evaluating the results of an experiment Describing problems with an experiment </w:t>
            </w:r>
          </w:p>
        </w:tc>
      </w:tr>
      <w:tr>
        <w:trPr>
          <w:cantSplit w:val="0"/>
          <w:trHeight w:val="3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5 Describing an experiment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38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asks a colleague to comment on his paper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discusses the progress of his research with a colleague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reports a problem with his research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explains why she prefers using an electronic lab notebook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summary of a scientific procedure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summary of a researcher's results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letters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a process Evaluating the results of an experiment Describing problems with an experiment 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MCP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Reports.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17-18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Revision Lesson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before="1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before="1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before="1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before="1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1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X СЕМЕСТР</w:t>
      </w:r>
    </w:p>
    <w:p w:rsidR="00000000" w:rsidDel="00000000" w:rsidP="00000000" w:rsidRDefault="00000000" w:rsidRPr="00000000" w14:paraId="000000D3">
      <w:pPr>
        <w:widowControl w:val="0"/>
        <w:spacing w:before="1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"/>
        <w:gridCol w:w="4429"/>
        <w:gridCol w:w="2665"/>
        <w:gridCol w:w="2027"/>
        <w:tblGridChange w:id="0">
          <w:tblGrid>
            <w:gridCol w:w="535"/>
            <w:gridCol w:w="4429"/>
            <w:gridCol w:w="2665"/>
            <w:gridCol w:w="2027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Змістзавдання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Методичнезабезпечення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Домашнєзавдання</w:t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Entry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6 Writing up research 1: materials and methods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46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procedure in the materials and method section Revising a paper (2)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Expressing numbers and describing data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Prefixes and suffixes (2)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Rewriting lab notes for a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student gets advice on the first draft of a paper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Researchers discuss experimental data A student describes changes to her method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Extracts from an early draft of a paper Extracts from a researcher’s lab notebook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states and processes Describing data: numbers / numerical values Writing up from lab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7 Writing up research 2: presenting data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54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Prefixes and suffixes (3)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Describing data for statistical analysis Comparing and contrasting experimental results (1)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a caption for a figure or graph Describing a figure or graph in a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student describes his research A supervisor asks a student to make corrections to a figure A student asks her supervisor for help with her paper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Extracts from a researcher’s lab notebook A table of experimental data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Job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Analysing data (statistical analysis) Summarising data in visual form Writing captions for figures Describing visual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8 Writing up research 3: results and discussion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62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Organising writing in paragraphs Referring to visual data in a paper Comparing and contrasting experimental results (2) Summarising information efficiently (1) Describing the limitations of research Making suggestions for future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student explains his research to a colleague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student gets advice on the first draft of a paper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Extracts from a student’s paper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Preparing and writing the results section</w:t>
            </w:r>
          </w:p>
        </w:tc>
      </w:tr>
      <w:tr>
        <w:trPr>
          <w:cantSplit w:val="0"/>
          <w:trHeight w:val="3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9 Writing up research 4: introduction and abstract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70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Reporting the work of other researchers in a paper Organising an abstract Summarising information efficiently (2) Writing a cover letter to a scientific journal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supervisor comments on the first draft of his student's abstract A student discusses the title of a paper with his supervisor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Extracts from a student's paper Advice on how to get your research published A cover letter to a scientific journal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the introduction Writing the abstract</w:t>
            </w:r>
          </w:p>
        </w:tc>
      </w:tr>
      <w:tr>
        <w:trPr>
          <w:cantSplit w:val="0"/>
          <w:trHeight w:val="4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10 Presenting research at aconference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78</w:t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Helping an audience understand the organisation of a presentation Socialising at a conference Organising a poster Summarising the content of a poster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gives a paper at a conference Eight conversations of people socialising at a conference A student answers questions about his poster presentation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the adaptive immune system responds to a viral vaccine Advice on preparing a good poster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Motivation letters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Giving a paper at a conference</w:t>
            </w:r>
          </w:p>
        </w:tc>
      </w:tr>
      <w:tr>
        <w:trPr>
          <w:cantSplit w:val="0"/>
          <w:trHeight w:val="4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10 Presenting research at aconference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page 78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Language focus: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Helping an audience understand the organisation of a presentation Socialising at a conference Organising a poster Summarising the content of a poster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Listening: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researcher gives a paper at a conference Eight conversations of people socialising at a conference A student answers questions about his poster presentation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the adaptive immune system responds to a viral vaccine Advice on preparing a good poster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Базовий підручник, тексти за фахом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Giving a paper at a conference 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MCP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Reports. Presentations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Revision Lesson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widowControl w:val="0"/>
        <w:spacing w:before="1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bfbfbf" w:val="clear"/>
        <w:spacing w:after="0" w:before="120" w:line="240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Навчальний контент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опанування навчальної дисципліни (освітнього компонента)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Загальний методичний підхід до викладання навчальної дисципліни «Практичний курс іноземної мови для </w:t>
      </w:r>
      <w:r w:rsidDel="00000000" w:rsidR="00000000" w:rsidRPr="00000000">
        <w:rPr>
          <w:sz w:val="24"/>
          <w:szCs w:val="24"/>
          <w:rtl w:val="0"/>
        </w:rPr>
        <w:t xml:space="preserve">ділової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комунікації» визначається як комунікативно-когнітивний та професійно орієнтований, згідно з яким у центрі освітнього процесу знаходиться студент – суб’єкт навчання і майбутній фахівець.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Основною методикою викладання є комунікативна методика, яка передбачає навчання іноземної мови як вмінню і засобу спілкування в професійному середовищі з використанням автентичних професійно орієнтованих матеріалів.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Робота на практичних заняттях спрямована на здобуття знань, розвиток та вдосконалення навичок і умінь спілкування в іншомовному професійному середовищі, ефективне опрацювання автентичних професійно орієнтованих джерел, розвиток і вдосконалення навичок і умінь іншомовної професійної письмової комунікації. 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Самостійна робота студента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Самостійна робота здобувача є основним засобом засвоєння навчального матеріалу у вільний від навчальних занять час і включає: опрацювання додаткового матеріалу, підготовку до практичних занять, виконання індивідуальних завдань (реферат, доповідь за фахом, виконання завдань на платформі Sikorsky).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підготовки реферату є: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поглиблення і розширення теоретичних знань студентів з окремих дисциплін циклу професійної підготовки завдяки пошуку й аналізу іншомовної наукової літератури та джерел у мережі Інтернет;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та удосконалення навичок і умінь читання фахової літератури у таких видах читання, як вибіркове читання та оглядове;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та удосконалення навичок і умінь самостійної роботи з іншомовною навчальною та науковою літературою;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реалізація міждисциплінарних зв’язків;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та удосконалення навичок і умінь структурування, логічного викладення та аналізу тексту;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стимулювання професійної мотивації студентів тощо.</w:t>
      </w:r>
    </w:p>
    <w:p w:rsidR="00000000" w:rsidDel="00000000" w:rsidP="00000000" w:rsidRDefault="00000000" w:rsidRPr="00000000" w14:paraId="0000014D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bfbfbf" w:val="clear"/>
        <w:spacing w:after="0" w:before="120" w:line="240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Політика та контроль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Політика навчальної дисципліни (освітнього компонента)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Навчальна дисципліна «Практичний курс </w:t>
      </w:r>
      <w:r w:rsidDel="00000000" w:rsidR="00000000" w:rsidRPr="00000000">
        <w:rPr>
          <w:sz w:val="24"/>
          <w:szCs w:val="24"/>
          <w:rtl w:val="0"/>
        </w:rPr>
        <w:t xml:space="preserve">іноземної мови для ділової комунікації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має виключно практичний характер, тому для успішного навчання необхідно відвідувати практичні заняття за темами, працювати з базовою та додатковою літературою, підготувати реферат та виконувати завдання для самостійної роботи. Оскільки вагома частина рейтингу студента формується за умови активної участі на практичних заняттях в індивідуальних та групових видах робіт, пропуски практичних занять не дають можливості студенту отримати максимальні бали у семестровий рейтинг.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Загальне оцінювання відбувається за схемою узгодженої рейтингової системи оцінювання. Очікувані результати навчання, контрольні заходи та терміни виконання оголошуються студентам на першому занятті.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Заохочувальні бали надаються за участь у науково-практичних конференціях, олімпіадах.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Студенти повинні дотримуватися Кодексу честі КПІ ім. Ігоря Сікорського, принципів академічної доброчесності та норм етичної поведінки: виявляти дисциплінованість, вихованість, доброзичливість, чесність, відповідальність.</w:t>
      </w:r>
    </w:p>
    <w:p w:rsidR="00000000" w:rsidDel="00000000" w:rsidP="00000000" w:rsidRDefault="00000000" w:rsidRPr="00000000" w14:paraId="00000153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Академічна доброчесність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Політика та принципи академічної доброчесності визначені у розділі 3 «Кодексу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https://kpi.ua/code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Норми етичної поведінки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https://kpi.ua/code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Види контролю та рейтингова система оцінювання результатів навчання (РСО)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першому занятті студенти ознайомлюються із рейтинговою системою оцінювання (РСО) дисципліни, яка побудована на основі Положення про систему оцінювання результатів навчання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https://document.kpi.ua/files/2020_1-273.pdf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Зокрема, рейтинг студента з дисципліни складається з балів, які можна отримати за відповіді на практичних заняттях протягом двох семестрів і за підготовку реферату у І семестрі та складання підсумкового тесту в кінці II семестру. На першому занятті кожного семестру проводиться вхідне та поточне тестування, оцінки за які не входять до рейтингу студентів.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результаті, максимальний середній ваговий бал дорівнює: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80 балів: 32 заняття × 2,5 бали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977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Реферат =10 балів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977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МКР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10 балів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практичному занятті оцінюється активність студентів та правильність його відповідей. Відповіді на практичних заняттях включають в себе роботу з підручником та розкриття розмовних тем.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Основні критерії оцінювання підготовки та презентації реферату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Відповідність темі за фахом.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Глибина та повнота розкриття теми.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Структура.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Оформлення.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Мовна відповідність (лексика, вживання граматичних структур тощо).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Презентація.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Виконання</w:t>
        <w:tab/>
        <w:t xml:space="preserve">90 % - 100% вимог – 10 балів (відмінно),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80% - 90% – 8-7 балів (добре)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65% - 80% – 6-5 балів (задовільно)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50% - 65% – 5-4 бали (достатньо)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Менше 40% - не зараховано (незадовільно).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Підсумковий тест проводиться в кінці весняного семестру з метою перевірки засвоєння студентами матеріалів кредитного модуля - перевірка рівня сформованості мовних навичок аудіювання, читання, граматики, письма, говоріння.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МКР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складається з 7 завдань: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Аудіювання тексту (5 питань). Максимальна кількість балів – 10 балів, кожне питання – 2 бали.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Розуміння прочитаного тексту (10 питань). Максимальна кількість балів – 20 балів, кожне питання – 2 бали.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Розуміння прочитаного тексту з метою перевірки лексичних навичок студента (10 питань). Максимальна кількість балів – 10 балів, кожне питання – 1 бал.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Граматичне завдання (20 речень). Максимальна кількість балів – 20 балів, кожне питання – 1 бал.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Перекладацька практика: переклад речень, які відповідають програмному матеріалу (10 речень). Максимальна кількість балів – 10 балів, кожне питання – 1 бал.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Письмове завдання, метою якого є перевірка уміння писати іноземною мовою зв’язний та логічно завершений текст. Максимальна кількість балів – 10 балів.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Говоріння: бесіда за запропонованими темами. Монологічне мовлення: максимальна кількість балів – 5 балів. Діалогічне мовлення: максимальна кількість балів – 15 балів.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спрощення розрахунку вводимо коефіцієнт 0,1. Таким чином, максимальна кількість балів за підсумковий тест: 100 балів х 0,1 = 10 балів.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Згідно з Положенням про поточний, календарний та семестровий контроль результатів навчання в КПІ ім. Ігоря Сікорського (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https://kpi.ua/document_control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календарний контроль - атестація -  проводиться на 7-8 та 14-15 тижнях кожного семестру навчання і реалізується шляхом визначення рівня відповідності поточного рейтингу успішності студента за визначеними в РСО критеріям.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передостанньому занятті весняного семестру проводиться підсумковий розрахунок рейтингової оцінки RD студентам, додаються заохочувальні бали за творчу роботу.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Студенти, які набрали необхідну кількість балів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≥60), мають можливість: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отримати залікову оцінку (залік) так званим «автоматом» відповідно до набраного рейтингу. В такому разі до заліково-екзаменаційної відомості вносяться бали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відповідні оцінки;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виконувати залікову контрольну роботу з метою підвищення оцінки.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Зміст залікової контрольної роботи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Тестове завдання №1 (аудіювання).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 кількість балів – 10, кожне питання – 2 бали.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Тестове завдання №2, №3 (читання).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 кількість балів – 20, кожне питання – 2 бали.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Тестове завдання №4 (лексичні знання).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 кількість балів – 10, кожне питання – 1 бал.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Тестове завдання №5 (граматичні знання).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 кількість балів – 20, кожне питання – 1 бал.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Тестове завдання №6, №7 (перекладацька практика).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 кількість балів – 10, кожне питання – 1 бал.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Тестове завдання №8 (письмо). Максимальна кількість балів – 10.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Тестове завдання №9 (монологічне і діалогічне мовлення).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 кількість балів – 20.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Шкала оцінювання: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 – 100 балів  «відмінно»  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85 – 94 балів  «дуже добре»  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 – 84 балів  «добре»  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 – 74 балів  «задовільно»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– 64 балів  «достатньо»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Менше 60 балів  «незадовільно»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оцінка за контрольну роботу більше, ніж «автоматом» за рейтингом, студент отримує оцінку за результатами залікової контрольної роботи.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оцінка за контрольну роботу менша, ніж «автоматом» за рейтингом, застосовується жорстка РСО – попередній рейтинг студента скасовується і він отримує оцінку з урахуванням результатів залікової контрольної роботи.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Студенти, які набрали протягом семестру рейтинг з кредитного модуля менше 60 балів (але не менше 30 балів), зобов’язані виконувати залікову контрольну роботу.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Студенти, які не виконали програму, до заліку не допускаються.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Переведення значення рейтингових оцінок з кредитного модуля для виставлення їх до екзаменаційної (залікової) відомості та залікової книжки  здійснюється відповідно до таблиці: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Таблиця відповідності рейтингових балів оцінкам за університетською шкалою: </w:t>
      </w:r>
    </w:p>
    <w:tbl>
      <w:tblPr>
        <w:tblStyle w:val="Table6"/>
        <w:tblW w:w="6094.000000000001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8"/>
        <w:gridCol w:w="2976"/>
        <w:tblGridChange w:id="0">
          <w:tblGrid>
            <w:gridCol w:w="3118"/>
            <w:gridCol w:w="2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100-95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Відмінно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94-85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Дуже добре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84-75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74-65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64-60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Достатньо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Менше 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Незадовільно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виконані умови допуску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допущено</w:t>
            </w:r>
          </w:p>
        </w:tc>
      </w:tr>
    </w:tbl>
    <w:p w:rsidR="00000000" w:rsidDel="00000000" w:rsidP="00000000" w:rsidRDefault="00000000" w:rsidRPr="00000000" w14:paraId="000001A9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Додаткова інформація з дисципліни (освітнього компонента)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Визнання результатів навчання, отриманих у неформальній/ інформальній освіті, зокрема міжнародного сертифікату з іноземної мови на рівні В2 та вище, регулюється відповідним чинним положенням: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https://document.kpi.ua/2020_7-177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 валідації результатів навчання за розпорядженням декана факультету створюється предметна комісія, до якої входять: завідувач  кафедри; науково-педагогічний працівник, відповідальний за освітній компонент, що пропонується до зарахування; науково-педагогічний працівник кафедри технічного факультету/ інституту, як правило, куратор академічної групи здобувача або його науковий керівник. Предметна комісія розглядає подані документи, проводить аналіз їх відповідності силабусу (робочій програмі навчальної дисципліни/ освітнього компонента), проводить співбесіду із здобувачем (за потреби) та приймає одне з рішень: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визнати результати, набуті під час неформальної освіти та зарахувати їх як оцінку семестрового контролю з відповідної навчальної дисципліни/ освітнього компонента;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визнати результати, набуті під час неформальної освіти та зарахувати їх відповідно до рейтингової системи оцінювання як поточний контроль з відповідної складової навчальної дисципліни/ освітнього компонента;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не визнавати результати, набуті під час неформальної/ інформальної освіти;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призначити дату проведення позачергового контрольного заходу, відповідно до зазначеного у навчальному плані для навчальної дисципліни/освітнього компонента, що може бути зарахований.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Робочу програму навчальної дисципліни (силабус):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Укладено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ст. викладачем КАМГС№3 Компанець Н.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Ухвалено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кафедрою англійської мови гуманітарного спрямування (протокол № 12  від  12.06.2024 р.)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Погоджено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Методичною комісією факультету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(протокол № __ від _______)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Методичною радою університету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– для загальноуніверситетських дисциплін.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69" w:hanging="36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1428" w:hanging="360"/>
      </w:pPr>
      <w:rPr>
        <w:b w:val="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1"/>
      <w:bidi w:val="0"/>
      <w:jc w:val="left"/>
    </w:pPr>
    <w:rPr>
      <w:rFonts w:ascii="Calibri" w:cs="Lucida Sans" w:eastAsia="NSimSun" w:hAnsi="Calibri"/>
      <w:color w:val="auto"/>
      <w:kern w:val="0"/>
      <w:sz w:val="20"/>
      <w:szCs w:val="20"/>
      <w:lang w:bidi="hi-IN" w:eastAsia="zh-CN" w:val="uk-UA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uiPriority w:val="99"/>
    <w:semiHidden w:val="1"/>
    <w:unhideWhenUsed w:val="1"/>
    <w:qFormat w:val="1"/>
    <w:rPr>
      <w:rFonts w:ascii="Tahoma" w:cs="Tahoma" w:hAnsi="Tahoma"/>
      <w:sz w:val="16"/>
      <w:szCs w:val="16"/>
    </w:rPr>
  </w:style>
  <w:style w:type="paragraph" w:styleId="11">
    <w:name w:val="Body Text"/>
    <w:basedOn w:val="1"/>
    <w:uiPriority w:val="0"/>
    <w:pPr>
      <w:spacing w:after="140" w:before="0" w:line="276" w:lineRule="auto"/>
    </w:pPr>
  </w:style>
  <w:style w:type="paragraph" w:styleId="12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13">
    <w:name w:val="footnote text"/>
    <w:basedOn w:val="1"/>
    <w:uiPriority w:val="0"/>
  </w:style>
  <w:style w:type="paragraph" w:styleId="14">
    <w:name w:val="List"/>
    <w:basedOn w:val="11"/>
    <w:uiPriority w:val="0"/>
    <w:rPr>
      <w:rFonts w:cs="Lucida Sans"/>
    </w:rPr>
  </w:style>
  <w:style w:type="paragraph" w:styleId="15">
    <w:name w:val="Subtitle"/>
    <w:basedOn w:val="16"/>
    <w:next w:val="16"/>
    <w:uiPriority w:val="0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6" w:customStyle="1">
    <w:name w:val="LO-normal"/>
    <w:uiPriority w:val="0"/>
    <w:qFormat w:val="1"/>
    <w:pPr>
      <w:widowControl w:val="1"/>
      <w:bidi w:val="0"/>
      <w:jc w:val="left"/>
    </w:pPr>
    <w:rPr>
      <w:rFonts w:ascii="Calibri" w:cs="Lucida Sans" w:eastAsia="NSimSun" w:hAnsi="Calibri"/>
      <w:color w:val="auto"/>
      <w:kern w:val="0"/>
      <w:sz w:val="20"/>
      <w:szCs w:val="20"/>
      <w:lang w:bidi="hi-IN" w:eastAsia="zh-CN" w:val="uk-UA"/>
    </w:rPr>
  </w:style>
  <w:style w:type="paragraph" w:styleId="17">
    <w:name w:val="Title"/>
    <w:basedOn w:val="1"/>
    <w:next w:val="1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18" w:customStyle="1">
    <w:name w:val="Table Normal1"/>
    <w:uiPriority w:val="0"/>
  </w:style>
  <w:style w:type="character" w:styleId="19" w:customStyle="1">
    <w:name w:val="Текст выноски Знак"/>
    <w:basedOn w:val="8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0" w:customStyle="1">
    <w:name w:val="ListLabel 1"/>
    <w:uiPriority w:val="0"/>
    <w:qFormat w:val="1"/>
    <w:rPr>
      <w:rFonts w:cs="Noto Sans Symbols" w:eastAsia="Noto Sans Symbols"/>
      <w:position w:val="0"/>
      <w:sz w:val="24"/>
      <w:vertAlign w:val="baseline"/>
    </w:rPr>
  </w:style>
  <w:style w:type="character" w:styleId="21" w:customStyle="1">
    <w:name w:val="ListLabel 2"/>
    <w:uiPriority w:val="0"/>
    <w:qFormat w:val="1"/>
    <w:rPr>
      <w:rFonts w:cs="Courier New" w:eastAsia="Courier New"/>
      <w:position w:val="0"/>
      <w:sz w:val="20"/>
      <w:vertAlign w:val="baseline"/>
    </w:rPr>
  </w:style>
  <w:style w:type="character" w:styleId="22" w:customStyle="1">
    <w:name w:val="ListLabel 3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23" w:customStyle="1">
    <w:name w:val="ListLabel 4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24" w:customStyle="1">
    <w:name w:val="ListLabel 5"/>
    <w:uiPriority w:val="0"/>
    <w:qFormat w:val="1"/>
    <w:rPr>
      <w:rFonts w:cs="Courier New" w:eastAsia="Courier New"/>
      <w:position w:val="0"/>
      <w:sz w:val="20"/>
      <w:vertAlign w:val="baseline"/>
    </w:rPr>
  </w:style>
  <w:style w:type="character" w:styleId="25" w:customStyle="1">
    <w:name w:val="ListLabel 6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26" w:customStyle="1">
    <w:name w:val="ListLabel 7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27" w:customStyle="1">
    <w:name w:val="ListLabel 8"/>
    <w:uiPriority w:val="0"/>
    <w:qFormat w:val="1"/>
    <w:rPr>
      <w:rFonts w:cs="Courier New" w:eastAsia="Courier New"/>
      <w:position w:val="0"/>
      <w:sz w:val="20"/>
      <w:vertAlign w:val="baseline"/>
    </w:rPr>
  </w:style>
  <w:style w:type="character" w:styleId="28" w:customStyle="1">
    <w:name w:val="ListLabel 9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29" w:customStyle="1">
    <w:name w:val="ListLabel 10"/>
    <w:uiPriority w:val="0"/>
    <w:qFormat w:val="1"/>
    <w:rPr>
      <w:rFonts w:cs="Vrinda" w:eastAsia="Vrinda"/>
      <w:b w:val="1"/>
      <w:position w:val="0"/>
      <w:sz w:val="24"/>
      <w:vertAlign w:val="baseline"/>
    </w:rPr>
  </w:style>
  <w:style w:type="character" w:styleId="30" w:customStyle="1">
    <w:name w:val="ListLabel 11"/>
    <w:uiPriority w:val="0"/>
    <w:qFormat w:val="1"/>
    <w:rPr>
      <w:rFonts w:cs="Courier New" w:eastAsia="Courier New"/>
      <w:position w:val="0"/>
      <w:sz w:val="20"/>
      <w:vertAlign w:val="baseline"/>
    </w:rPr>
  </w:style>
  <w:style w:type="character" w:styleId="31" w:customStyle="1">
    <w:name w:val="ListLabel 12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32" w:customStyle="1">
    <w:name w:val="ListLabel 13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33" w:customStyle="1">
    <w:name w:val="ListLabel 14"/>
    <w:uiPriority w:val="0"/>
    <w:qFormat w:val="1"/>
    <w:rPr>
      <w:rFonts w:cs="Courier New" w:eastAsia="Courier New"/>
      <w:position w:val="0"/>
      <w:sz w:val="20"/>
      <w:vertAlign w:val="baseline"/>
    </w:rPr>
  </w:style>
  <w:style w:type="character" w:styleId="34" w:customStyle="1">
    <w:name w:val="ListLabel 15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35" w:customStyle="1">
    <w:name w:val="ListLabel 16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36" w:customStyle="1">
    <w:name w:val="ListLabel 17"/>
    <w:uiPriority w:val="0"/>
    <w:qFormat w:val="1"/>
    <w:rPr>
      <w:rFonts w:cs="Courier New" w:eastAsia="Courier New"/>
      <w:position w:val="0"/>
      <w:sz w:val="20"/>
      <w:vertAlign w:val="baseline"/>
    </w:rPr>
  </w:style>
  <w:style w:type="character" w:styleId="37" w:customStyle="1">
    <w:name w:val="ListLabel 18"/>
    <w:uiPriority w:val="0"/>
    <w:qFormat w:val="1"/>
    <w:rPr>
      <w:rFonts w:cs="Noto Sans Symbols" w:eastAsia="Noto Sans Symbols"/>
      <w:position w:val="0"/>
      <w:sz w:val="20"/>
      <w:vertAlign w:val="baseline"/>
    </w:rPr>
  </w:style>
  <w:style w:type="character" w:styleId="38" w:customStyle="1">
    <w:name w:val="ListLabel 19"/>
    <w:uiPriority w:val="0"/>
    <w:qFormat w:val="1"/>
    <w:rPr>
      <w:rFonts w:ascii="Calibri" w:hAnsi="Calibri"/>
      <w:position w:val="0"/>
      <w:sz w:val="24"/>
      <w:vertAlign w:val="baseline"/>
    </w:rPr>
  </w:style>
  <w:style w:type="character" w:styleId="39" w:customStyle="1">
    <w:name w:val="ListLabel 20"/>
    <w:uiPriority w:val="0"/>
    <w:qFormat w:val="1"/>
    <w:rPr>
      <w:position w:val="0"/>
      <w:sz w:val="20"/>
      <w:vertAlign w:val="baseline"/>
    </w:rPr>
  </w:style>
  <w:style w:type="character" w:styleId="40" w:customStyle="1">
    <w:name w:val="ListLabel 21"/>
    <w:uiPriority w:val="0"/>
    <w:qFormat w:val="1"/>
    <w:rPr>
      <w:position w:val="0"/>
      <w:sz w:val="20"/>
      <w:vertAlign w:val="baseline"/>
    </w:rPr>
  </w:style>
  <w:style w:type="character" w:styleId="41" w:customStyle="1">
    <w:name w:val="ListLabel 22"/>
    <w:uiPriority w:val="0"/>
    <w:qFormat w:val="1"/>
    <w:rPr>
      <w:position w:val="0"/>
      <w:sz w:val="20"/>
      <w:vertAlign w:val="baseline"/>
    </w:rPr>
  </w:style>
  <w:style w:type="character" w:styleId="42" w:customStyle="1">
    <w:name w:val="ListLabel 23"/>
    <w:uiPriority w:val="0"/>
    <w:qFormat w:val="1"/>
    <w:rPr>
      <w:position w:val="0"/>
      <w:sz w:val="20"/>
      <w:vertAlign w:val="baseline"/>
    </w:rPr>
  </w:style>
  <w:style w:type="character" w:styleId="43" w:customStyle="1">
    <w:name w:val="ListLabel 24"/>
    <w:uiPriority w:val="0"/>
    <w:qFormat w:val="1"/>
    <w:rPr>
      <w:position w:val="0"/>
      <w:sz w:val="20"/>
      <w:vertAlign w:val="baseline"/>
    </w:rPr>
  </w:style>
  <w:style w:type="character" w:styleId="44" w:customStyle="1">
    <w:name w:val="ListLabel 25"/>
    <w:uiPriority w:val="0"/>
    <w:qFormat w:val="1"/>
    <w:rPr>
      <w:position w:val="0"/>
      <w:sz w:val="20"/>
      <w:vertAlign w:val="baseline"/>
    </w:rPr>
  </w:style>
  <w:style w:type="character" w:styleId="45" w:customStyle="1">
    <w:name w:val="ListLabel 26"/>
    <w:uiPriority w:val="0"/>
    <w:qFormat w:val="1"/>
    <w:rPr>
      <w:position w:val="0"/>
      <w:sz w:val="20"/>
      <w:vertAlign w:val="baseline"/>
    </w:rPr>
  </w:style>
  <w:style w:type="character" w:styleId="46" w:customStyle="1">
    <w:name w:val="ListLabel 27"/>
    <w:uiPriority w:val="0"/>
    <w:qFormat w:val="1"/>
    <w:rPr>
      <w:position w:val="0"/>
      <w:sz w:val="20"/>
      <w:vertAlign w:val="baseline"/>
    </w:rPr>
  </w:style>
  <w:style w:type="character" w:styleId="47" w:customStyle="1">
    <w:name w:val="ListLabel 28"/>
    <w:uiPriority w:val="0"/>
    <w:qFormat w:val="1"/>
    <w:rPr>
      <w:rFonts w:ascii="Calibri" w:hAnsi="Calibri"/>
      <w:position w:val="0"/>
      <w:sz w:val="24"/>
      <w:vertAlign w:val="baseline"/>
    </w:rPr>
  </w:style>
  <w:style w:type="character" w:styleId="48" w:customStyle="1">
    <w:name w:val="ListLabel 29"/>
    <w:uiPriority w:val="0"/>
    <w:qFormat w:val="1"/>
    <w:rPr>
      <w:position w:val="0"/>
      <w:sz w:val="20"/>
      <w:vertAlign w:val="baseline"/>
    </w:rPr>
  </w:style>
  <w:style w:type="character" w:styleId="49" w:customStyle="1">
    <w:name w:val="ListLabel 30"/>
    <w:uiPriority w:val="0"/>
    <w:qFormat w:val="1"/>
    <w:rPr>
      <w:position w:val="0"/>
      <w:sz w:val="20"/>
      <w:vertAlign w:val="baseline"/>
    </w:rPr>
  </w:style>
  <w:style w:type="character" w:styleId="50" w:customStyle="1">
    <w:name w:val="ListLabel 31"/>
    <w:uiPriority w:val="0"/>
    <w:qFormat w:val="1"/>
    <w:rPr>
      <w:position w:val="0"/>
      <w:sz w:val="20"/>
      <w:vertAlign w:val="baseline"/>
    </w:rPr>
  </w:style>
  <w:style w:type="character" w:styleId="51" w:customStyle="1">
    <w:name w:val="ListLabel 32"/>
    <w:uiPriority w:val="0"/>
    <w:qFormat w:val="1"/>
    <w:rPr>
      <w:position w:val="0"/>
      <w:sz w:val="20"/>
      <w:vertAlign w:val="baseline"/>
    </w:rPr>
  </w:style>
  <w:style w:type="character" w:styleId="52" w:customStyle="1">
    <w:name w:val="ListLabel 33"/>
    <w:uiPriority w:val="0"/>
    <w:qFormat w:val="1"/>
    <w:rPr>
      <w:position w:val="0"/>
      <w:sz w:val="20"/>
      <w:vertAlign w:val="baseline"/>
    </w:rPr>
  </w:style>
  <w:style w:type="character" w:styleId="53" w:customStyle="1">
    <w:name w:val="ListLabel 34"/>
    <w:uiPriority w:val="0"/>
    <w:qFormat w:val="1"/>
    <w:rPr>
      <w:position w:val="0"/>
      <w:sz w:val="20"/>
      <w:vertAlign w:val="baseline"/>
    </w:rPr>
  </w:style>
  <w:style w:type="character" w:styleId="54" w:customStyle="1">
    <w:name w:val="ListLabel 35"/>
    <w:uiPriority w:val="0"/>
    <w:qFormat w:val="1"/>
    <w:rPr>
      <w:position w:val="0"/>
      <w:sz w:val="20"/>
      <w:vertAlign w:val="baseline"/>
    </w:rPr>
  </w:style>
  <w:style w:type="character" w:styleId="55" w:customStyle="1">
    <w:name w:val="ListLabel 36"/>
    <w:uiPriority w:val="0"/>
    <w:qFormat w:val="1"/>
    <w:rPr>
      <w:position w:val="0"/>
      <w:sz w:val="20"/>
      <w:vertAlign w:val="baseline"/>
    </w:rPr>
  </w:style>
  <w:style w:type="character" w:styleId="56" w:customStyle="1">
    <w:name w:val="ListLabel 37"/>
    <w:uiPriority w:val="0"/>
    <w:qFormat w:val="1"/>
    <w:rPr>
      <w:rFonts w:ascii="Calibri" w:hAnsi="Calibri"/>
      <w:position w:val="0"/>
      <w:sz w:val="24"/>
      <w:vertAlign w:val="baseline"/>
    </w:rPr>
  </w:style>
  <w:style w:type="character" w:styleId="57" w:customStyle="1">
    <w:name w:val="ListLabel 38"/>
    <w:uiPriority w:val="0"/>
    <w:qFormat w:val="1"/>
    <w:rPr>
      <w:position w:val="0"/>
      <w:sz w:val="20"/>
      <w:vertAlign w:val="baseline"/>
    </w:rPr>
  </w:style>
  <w:style w:type="character" w:styleId="58" w:customStyle="1">
    <w:name w:val="ListLabel 39"/>
    <w:uiPriority w:val="0"/>
    <w:qFormat w:val="1"/>
    <w:rPr>
      <w:position w:val="0"/>
      <w:sz w:val="20"/>
      <w:vertAlign w:val="baseline"/>
    </w:rPr>
  </w:style>
  <w:style w:type="character" w:styleId="59" w:customStyle="1">
    <w:name w:val="ListLabel 40"/>
    <w:uiPriority w:val="0"/>
    <w:qFormat w:val="1"/>
    <w:rPr>
      <w:position w:val="0"/>
      <w:sz w:val="20"/>
      <w:vertAlign w:val="baseline"/>
    </w:rPr>
  </w:style>
  <w:style w:type="character" w:styleId="60" w:customStyle="1">
    <w:name w:val="ListLabel 41"/>
    <w:uiPriority w:val="0"/>
    <w:qFormat w:val="1"/>
    <w:rPr>
      <w:position w:val="0"/>
      <w:sz w:val="20"/>
      <w:vertAlign w:val="baseline"/>
    </w:rPr>
  </w:style>
  <w:style w:type="character" w:styleId="61" w:customStyle="1">
    <w:name w:val="ListLabel 42"/>
    <w:uiPriority w:val="0"/>
    <w:qFormat w:val="1"/>
    <w:rPr>
      <w:position w:val="0"/>
      <w:sz w:val="20"/>
      <w:vertAlign w:val="baseline"/>
    </w:rPr>
  </w:style>
  <w:style w:type="character" w:styleId="62" w:customStyle="1">
    <w:name w:val="ListLabel 43"/>
    <w:uiPriority w:val="0"/>
    <w:qFormat w:val="1"/>
    <w:rPr>
      <w:position w:val="0"/>
      <w:sz w:val="20"/>
      <w:vertAlign w:val="baseline"/>
    </w:rPr>
  </w:style>
  <w:style w:type="character" w:styleId="63" w:customStyle="1">
    <w:name w:val="ListLabel 44"/>
    <w:uiPriority w:val="0"/>
    <w:qFormat w:val="1"/>
    <w:rPr>
      <w:position w:val="0"/>
      <w:sz w:val="20"/>
      <w:vertAlign w:val="baseline"/>
    </w:rPr>
  </w:style>
  <w:style w:type="character" w:styleId="64" w:customStyle="1">
    <w:name w:val="ListLabel 45"/>
    <w:uiPriority w:val="0"/>
    <w:qFormat w:val="1"/>
    <w:rPr>
      <w:position w:val="0"/>
      <w:sz w:val="20"/>
      <w:vertAlign w:val="baseline"/>
    </w:rPr>
  </w:style>
  <w:style w:type="character" w:styleId="65" w:customStyle="1">
    <w:name w:val="ListLabel 46"/>
    <w:uiPriority w:val="0"/>
    <w:qFormat w:val="1"/>
    <w:rPr>
      <w:rFonts w:ascii="Calibri" w:cs="Calibri" w:eastAsia="Calibri" w:hAnsi="Calibri"/>
      <w:color w:val="0000ff"/>
      <w:sz w:val="24"/>
      <w:szCs w:val="24"/>
      <w:u w:val="single"/>
    </w:rPr>
  </w:style>
  <w:style w:type="character" w:styleId="66" w:customStyle="1">
    <w:name w:val="Гіперпосилання"/>
    <w:uiPriority w:val="0"/>
    <w:rPr>
      <w:color w:val="000080"/>
      <w:u w:val="single"/>
      <w:lang w:bidi="zh-CN" w:eastAsia="zh-CN" w:val="zh-CN"/>
    </w:rPr>
  </w:style>
  <w:style w:type="character" w:styleId="67" w:customStyle="1">
    <w:name w:val="ListLabel 47"/>
    <w:uiPriority w:val="0"/>
    <w:qFormat w:val="1"/>
    <w:rPr>
      <w:rFonts w:ascii="Calibri" w:cs="Calibri" w:eastAsia="Calibri" w:hAnsi="Calibri"/>
      <w:color w:val="1155cc"/>
      <w:sz w:val="24"/>
      <w:szCs w:val="24"/>
      <w:u w:val="single"/>
    </w:rPr>
  </w:style>
  <w:style w:type="character" w:styleId="68" w:customStyle="1">
    <w:name w:val="ListLabel 48"/>
    <w:uiPriority w:val="0"/>
    <w:qFormat w:val="1"/>
    <w:rPr>
      <w:rFonts w:ascii="Calibri" w:cs="Calibri" w:eastAsia="Calibri" w:hAnsi="Calibri"/>
      <w:color w:val="000000"/>
      <w:sz w:val="24"/>
      <w:szCs w:val="24"/>
    </w:rPr>
  </w:style>
  <w:style w:type="character" w:styleId="69" w:customStyle="1">
    <w:name w:val="ListLabel 49"/>
    <w:uiPriority w:val="0"/>
    <w:qFormat w:val="1"/>
    <w:rPr>
      <w:rFonts w:ascii="Calibri" w:cs="Calibri" w:eastAsia="Calibri" w:hAnsi="Calibri"/>
      <w:color w:val="1155cc"/>
      <w:sz w:val="24"/>
      <w:szCs w:val="24"/>
    </w:rPr>
  </w:style>
  <w:style w:type="character" w:styleId="70" w:customStyle="1">
    <w:name w:val="Символи виноски"/>
    <w:uiPriority w:val="0"/>
    <w:qFormat w:val="1"/>
  </w:style>
  <w:style w:type="character" w:styleId="71" w:customStyle="1">
    <w:name w:val="Прив'язка виноски"/>
    <w:uiPriority w:val="0"/>
    <w:rPr>
      <w:vertAlign w:val="superscript"/>
    </w:rPr>
  </w:style>
  <w:style w:type="character" w:styleId="72" w:customStyle="1">
    <w:name w:val="Прив'язка кінцевої виноски"/>
    <w:uiPriority w:val="0"/>
    <w:rPr>
      <w:vertAlign w:val="superscript"/>
    </w:rPr>
  </w:style>
  <w:style w:type="character" w:styleId="73" w:customStyle="1">
    <w:name w:val="Символи кінцевої виноски"/>
    <w:uiPriority w:val="0"/>
    <w:qFormat w:val="1"/>
  </w:style>
  <w:style w:type="paragraph" w:styleId="74" w:customStyle="1">
    <w:name w:val="Заголовок"/>
    <w:basedOn w:val="1"/>
    <w:next w:val="11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75" w:customStyle="1">
    <w:name w:val="Покажчик"/>
    <w:basedOn w:val="1"/>
    <w:uiPriority w:val="0"/>
    <w:qFormat w:val="1"/>
    <w:pPr>
      <w:suppressLineNumbers w:val="1"/>
    </w:pPr>
    <w:rPr>
      <w:rFonts w:cs="Lucida Sans"/>
    </w:rPr>
  </w:style>
  <w:style w:type="table" w:styleId="76" w:customStyle="1">
    <w:name w:val="Table Normal2"/>
    <w:uiPriority w:val="0"/>
  </w:style>
  <w:style w:type="table" w:styleId="77" w:customStyle="1">
    <w:name w:val="Table Normal3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8" w:customStyle="1">
    <w:name w:val="_Style 86"/>
    <w:basedOn w:val="18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9" w:customStyle="1">
    <w:name w:val="_Style 87"/>
    <w:basedOn w:val="18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0" w:customStyle="1">
    <w:name w:val="_Style 88"/>
    <w:basedOn w:val="18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1" w:customStyle="1">
    <w:name w:val="_Style 89"/>
    <w:basedOn w:val="18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2" w:customStyle="1">
    <w:name w:val="_Style 90"/>
    <w:basedOn w:val="18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3" w:customStyle="1">
    <w:name w:val="_Style 91"/>
    <w:basedOn w:val="18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ument.kpi.ua/2020_7-177" TargetMode="External"/><Relationship Id="rId11" Type="http://schemas.openxmlformats.org/officeDocument/2006/relationships/hyperlink" Target="http://kamgs3.kpi.ua/" TargetMode="External"/><Relationship Id="rId22" Type="http://schemas.openxmlformats.org/officeDocument/2006/relationships/hyperlink" Target="https://document.kpi.ua/2020_7-177" TargetMode="External"/><Relationship Id="rId10" Type="http://schemas.openxmlformats.org/officeDocument/2006/relationships/hyperlink" Target="http://rozklad.kpi.ua/" TargetMode="External"/><Relationship Id="rId21" Type="http://schemas.openxmlformats.org/officeDocument/2006/relationships/hyperlink" Target="https://document.kpi.ua/2020_7-177" TargetMode="External"/><Relationship Id="rId13" Type="http://schemas.openxmlformats.org/officeDocument/2006/relationships/hyperlink" Target="https://www.teachingenglish.org.uk/resources/adults/english-business" TargetMode="External"/><Relationship Id="rId12" Type="http://schemas.openxmlformats.org/officeDocument/2006/relationships/hyperlink" Target="https://learnenglish.britishcouncil.org/en/english-email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5" Type="http://schemas.openxmlformats.org/officeDocument/2006/relationships/hyperlink" Target="https://www.bbc.co.uk/learningenglish/" TargetMode="External"/><Relationship Id="rId14" Type="http://schemas.openxmlformats.org/officeDocument/2006/relationships/hyperlink" Target="https://learnenglish.britishcouncil.org/business-english" TargetMode="External"/><Relationship Id="rId17" Type="http://schemas.openxmlformats.org/officeDocument/2006/relationships/hyperlink" Target="https://kpi.ua/code" TargetMode="External"/><Relationship Id="rId16" Type="http://schemas.openxmlformats.org/officeDocument/2006/relationships/hyperlink" Target="https://kpi.ua/code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kpi.ua/document_control" TargetMode="External"/><Relationship Id="rId6" Type="http://schemas.openxmlformats.org/officeDocument/2006/relationships/styles" Target="styles.xml"/><Relationship Id="rId18" Type="http://schemas.openxmlformats.org/officeDocument/2006/relationships/hyperlink" Target="https://document.kpi.ua/files/2020_1-273.pdf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5vzPAbQuLWjQ0QdVVn8MNydP0Q==">CgMxLjAyCGguZ2pkZ3hzMghoLmdqZGd4czgAciExd2J2TnduY1NFRjBzSmxTaXJ2Mk5zSlBVaDJXV2JQR3I=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8A8947C48BBD456CB23172D092D6F53D_13</vt:lpwstr>
  </property>
</Properties>
</file>